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58" w:rsidRPr="00E47836" w:rsidRDefault="00E47836" w:rsidP="00E47836">
      <w:pPr>
        <w:jc w:val="center"/>
        <w:rPr>
          <w:b/>
          <w:sz w:val="24"/>
          <w:szCs w:val="24"/>
        </w:rPr>
      </w:pPr>
      <w:r w:rsidRPr="00E47836">
        <w:rPr>
          <w:b/>
          <w:sz w:val="24"/>
          <w:szCs w:val="24"/>
        </w:rPr>
        <w:t>Advantages of ITC</w:t>
      </w:r>
    </w:p>
    <w:p w:rsidR="00840993" w:rsidRPr="00576E58" w:rsidRDefault="00576E58" w:rsidP="00576E58">
      <w:pPr>
        <w:autoSpaceDE w:val="0"/>
        <w:autoSpaceDN w:val="0"/>
        <w:adjustRightInd w:val="0"/>
        <w:spacing w:after="0" w:line="240" w:lineRule="auto"/>
        <w:jc w:val="both"/>
      </w:pPr>
      <w:r w:rsidRPr="00576E58">
        <w:t xml:space="preserve">XG (11-20): </w:t>
      </w:r>
      <w:r w:rsidRPr="00576E58">
        <w:rPr>
          <w:rFonts w:cs="AdvP40418"/>
        </w:rPr>
        <w:t xml:space="preserve">Isothermal titration </w:t>
      </w:r>
      <w:proofErr w:type="spellStart"/>
      <w:r w:rsidRPr="00576E58">
        <w:rPr>
          <w:rFonts w:cs="AdvP40418"/>
        </w:rPr>
        <w:t>calorimetry</w:t>
      </w:r>
      <w:proofErr w:type="spellEnd"/>
      <w:r w:rsidRPr="00576E58">
        <w:rPr>
          <w:rFonts w:cs="AdvP40418"/>
        </w:rPr>
        <w:t xml:space="preserve"> (ITC) is now routinely used to </w:t>
      </w:r>
      <w:r w:rsidRPr="00576E58">
        <w:rPr>
          <w:rFonts w:cs="AdvP40418"/>
          <w:color w:val="0000FF"/>
          <w:u w:val="single"/>
        </w:rPr>
        <w:t>directly</w:t>
      </w:r>
      <w:r w:rsidRPr="00576E58">
        <w:rPr>
          <w:rFonts w:cs="AdvP40418"/>
          <w:color w:val="0000FF"/>
        </w:rPr>
        <w:t xml:space="preserve"> </w:t>
      </w:r>
      <w:r w:rsidRPr="00576E58">
        <w:rPr>
          <w:rFonts w:cs="AdvP40418"/>
        </w:rPr>
        <w:t>characterize the thermodynamics of protein-</w:t>
      </w:r>
      <w:proofErr w:type="spellStart"/>
      <w:r w:rsidRPr="00576E58">
        <w:rPr>
          <w:rFonts w:cs="AdvP40418"/>
        </w:rPr>
        <w:t>ligand</w:t>
      </w:r>
      <w:proofErr w:type="spellEnd"/>
      <w:r w:rsidRPr="00576E58">
        <w:rPr>
          <w:rFonts w:cs="AdvP40418"/>
        </w:rPr>
        <w:t xml:space="preserve"> binding interactions and the kinetics of enzyme-catalyzed reactions. </w:t>
      </w:r>
    </w:p>
    <w:p w:rsidR="00576E58" w:rsidRPr="00576E58" w:rsidRDefault="00576E58" w:rsidP="00576E58">
      <w:pPr>
        <w:jc w:val="both"/>
      </w:pPr>
    </w:p>
    <w:p w:rsidR="00576E58" w:rsidRPr="00576E58" w:rsidRDefault="00576E58" w:rsidP="00576E58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cs="AdvP40418"/>
          <w:color w:val="000000"/>
        </w:rPr>
      </w:pPr>
      <w:r w:rsidRPr="00576E58">
        <w:rPr>
          <w:rFonts w:cs="AdvP40418"/>
          <w:color w:val="000000"/>
        </w:rPr>
        <w:t xml:space="preserve">A typical binding interaction between a </w:t>
      </w:r>
      <w:proofErr w:type="spellStart"/>
      <w:r w:rsidRPr="00576E58">
        <w:rPr>
          <w:rFonts w:cs="AdvP40418"/>
          <w:color w:val="000000"/>
        </w:rPr>
        <w:t>ligand</w:t>
      </w:r>
      <w:proofErr w:type="spellEnd"/>
      <w:r w:rsidRPr="00576E58">
        <w:rPr>
          <w:rFonts w:cs="AdvP40418"/>
          <w:color w:val="000000"/>
        </w:rPr>
        <w:t xml:space="preserve"> and a receptor molecule is illustrated below</w:t>
      </w:r>
    </w:p>
    <w:p w:rsidR="00576E58" w:rsidRPr="00576E58" w:rsidRDefault="00576E58" w:rsidP="00576E58">
      <w:pPr>
        <w:autoSpaceDE w:val="0"/>
        <w:autoSpaceDN w:val="0"/>
        <w:adjustRightInd w:val="0"/>
        <w:spacing w:after="0" w:line="240" w:lineRule="auto"/>
        <w:jc w:val="right"/>
        <w:rPr>
          <w:rFonts w:cs="AdvP40418"/>
          <w:color w:val="000000"/>
        </w:rPr>
      </w:pPr>
      <w:r w:rsidRPr="00576E58">
        <w:rPr>
          <w:rFonts w:cs="AdvP40418"/>
          <w:noProof/>
          <w:color w:val="000000"/>
        </w:rPr>
        <w:drawing>
          <wp:inline distT="0" distB="0" distL="0" distR="0">
            <wp:extent cx="4957215" cy="1866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21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E58" w:rsidRPr="00576E58" w:rsidRDefault="00576E58" w:rsidP="00576E58">
      <w:pPr>
        <w:autoSpaceDE w:val="0"/>
        <w:autoSpaceDN w:val="0"/>
        <w:adjustRightInd w:val="0"/>
        <w:spacing w:after="0" w:line="240" w:lineRule="auto"/>
        <w:jc w:val="both"/>
        <w:rPr>
          <w:rFonts w:cs="AdvP40418"/>
          <w:color w:val="000000"/>
        </w:rPr>
      </w:pPr>
    </w:p>
    <w:p w:rsidR="00576E58" w:rsidRDefault="00576E58" w:rsidP="00576E5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dvP40418"/>
        </w:rPr>
      </w:pPr>
      <w:r w:rsidRPr="00576E58">
        <w:rPr>
          <w:rFonts w:cs="AdvP40418"/>
        </w:rPr>
        <w:t xml:space="preserve">The following equations are provided as a brief review of the relevant thermodynamic relationships: </w:t>
      </w:r>
    </w:p>
    <w:p w:rsidR="00576E58" w:rsidRPr="00576E58" w:rsidRDefault="00576E58" w:rsidP="00576E5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dvP40418"/>
        </w:rPr>
      </w:pPr>
    </w:p>
    <w:tbl>
      <w:tblPr>
        <w:tblStyle w:val="TableGrid"/>
        <w:tblW w:w="8640" w:type="dxa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0"/>
        <w:gridCol w:w="4680"/>
      </w:tblGrid>
      <w:tr w:rsidR="00576E58" w:rsidRPr="00576E58" w:rsidTr="00576E58">
        <w:tc>
          <w:tcPr>
            <w:tcW w:w="3960" w:type="dxa"/>
            <w:vAlign w:val="center"/>
          </w:tcPr>
          <w:p w:rsidR="00576E58" w:rsidRPr="00576E58" w:rsidRDefault="00576E58" w:rsidP="00576E58">
            <w:pPr>
              <w:autoSpaceDE w:val="0"/>
              <w:autoSpaceDN w:val="0"/>
              <w:adjustRightInd w:val="0"/>
              <w:rPr>
                <w:rFonts w:cs="AdvP40418"/>
              </w:rPr>
            </w:pPr>
            <w:r w:rsidRPr="00576E58">
              <w:rPr>
                <w:rFonts w:cs="AdvP40418"/>
              </w:rPr>
              <w:drawing>
                <wp:inline distT="0" distB="0" distL="0" distR="0">
                  <wp:extent cx="3076575" cy="1571625"/>
                  <wp:effectExtent l="19050" t="0" r="9525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390" cy="1573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576E58" w:rsidRPr="00576E58" w:rsidRDefault="00576E58" w:rsidP="00576E58">
            <w:pPr>
              <w:autoSpaceDE w:val="0"/>
              <w:autoSpaceDN w:val="0"/>
              <w:adjustRightInd w:val="0"/>
              <w:rPr>
                <w:rFonts w:cs="AdvP40418"/>
              </w:rPr>
            </w:pPr>
            <w:proofErr w:type="spellStart"/>
            <w:r w:rsidRPr="00576E58">
              <w:rPr>
                <w:rFonts w:cs="AdvP40419"/>
              </w:rPr>
              <w:t>K</w:t>
            </w:r>
            <w:r w:rsidRPr="00576E58">
              <w:rPr>
                <w:rFonts w:cs="AdvP40418"/>
              </w:rPr>
              <w:t>eq</w:t>
            </w:r>
            <w:proofErr w:type="spellEnd"/>
            <w:r w:rsidRPr="00576E58">
              <w:rPr>
                <w:rFonts w:cs="AdvP40418"/>
              </w:rPr>
              <w:t xml:space="preserve"> (</w:t>
            </w:r>
            <w:r w:rsidRPr="00576E58">
              <w:rPr>
                <w:rFonts w:cs="AdvP40419"/>
              </w:rPr>
              <w:t>K</w:t>
            </w:r>
            <w:r w:rsidRPr="00576E58">
              <w:rPr>
                <w:rFonts w:cs="AdvP40418"/>
              </w:rPr>
              <w:t xml:space="preserve">) is the equilibrium constant, </w:t>
            </w:r>
          </w:p>
          <w:p w:rsidR="00576E58" w:rsidRPr="00576E58" w:rsidRDefault="00576E58" w:rsidP="00576E58">
            <w:pPr>
              <w:autoSpaceDE w:val="0"/>
              <w:autoSpaceDN w:val="0"/>
              <w:adjustRightInd w:val="0"/>
              <w:rPr>
                <w:rFonts w:cs="AdvP40418"/>
              </w:rPr>
            </w:pPr>
            <w:r w:rsidRPr="00576E58">
              <w:rPr>
                <w:rFonts w:cs="AdvP40418"/>
              </w:rPr>
              <w:t xml:space="preserve">[X] is the molar equilibrium (or actual) concentration of species </w:t>
            </w:r>
            <w:r w:rsidRPr="00576E58">
              <w:rPr>
                <w:rFonts w:cs="AdvP40419"/>
              </w:rPr>
              <w:t>X</w:t>
            </w:r>
            <w:r w:rsidRPr="00576E58">
              <w:rPr>
                <w:rFonts w:cs="AdvP40418"/>
              </w:rPr>
              <w:t xml:space="preserve">, </w:t>
            </w:r>
          </w:p>
          <w:p w:rsidR="00576E58" w:rsidRPr="00576E58" w:rsidRDefault="00576E58" w:rsidP="00576E58">
            <w:pPr>
              <w:autoSpaceDE w:val="0"/>
              <w:autoSpaceDN w:val="0"/>
              <w:adjustRightInd w:val="0"/>
              <w:rPr>
                <w:rFonts w:cs="AdvP40418"/>
              </w:rPr>
            </w:pPr>
            <w:r w:rsidRPr="00576E58">
              <w:rPr>
                <w:rFonts w:ascii="Symbol" w:hAnsi="Symbol" w:cs="AdvPi1"/>
              </w:rPr>
              <w:t></w:t>
            </w:r>
            <w:r w:rsidRPr="00576E58">
              <w:rPr>
                <w:rFonts w:cs="AdvP40419"/>
              </w:rPr>
              <w:t>G</w:t>
            </w:r>
            <w:r w:rsidRPr="00576E58">
              <w:rPr>
                <w:rFonts w:cs="AdvP40419"/>
                <w:vertAlign w:val="superscript"/>
              </w:rPr>
              <w:t>o</w:t>
            </w:r>
            <w:r w:rsidRPr="00576E58">
              <w:rPr>
                <w:rFonts w:cs="AdvP40419"/>
              </w:rPr>
              <w:t xml:space="preserve"> </w:t>
            </w:r>
            <w:r w:rsidRPr="00576E58">
              <w:rPr>
                <w:rFonts w:cs="AdvP40418"/>
              </w:rPr>
              <w:t xml:space="preserve">is the standard Gibbs free energy change, </w:t>
            </w:r>
          </w:p>
          <w:p w:rsidR="00576E58" w:rsidRPr="00576E58" w:rsidRDefault="00576E58" w:rsidP="00576E58">
            <w:pPr>
              <w:autoSpaceDE w:val="0"/>
              <w:autoSpaceDN w:val="0"/>
              <w:adjustRightInd w:val="0"/>
              <w:rPr>
                <w:rFonts w:cs="AdvP40418"/>
              </w:rPr>
            </w:pPr>
            <w:r w:rsidRPr="00576E58">
              <w:rPr>
                <w:rFonts w:cs="AdvP40419"/>
              </w:rPr>
              <w:t xml:space="preserve">R </w:t>
            </w:r>
            <w:r w:rsidRPr="00576E58">
              <w:rPr>
                <w:rFonts w:cs="AdvP40418"/>
              </w:rPr>
              <w:t>is the universal gas constant,</w:t>
            </w:r>
          </w:p>
          <w:p w:rsidR="00576E58" w:rsidRPr="00576E58" w:rsidRDefault="00576E58" w:rsidP="00576E58">
            <w:pPr>
              <w:autoSpaceDE w:val="0"/>
              <w:autoSpaceDN w:val="0"/>
              <w:adjustRightInd w:val="0"/>
              <w:rPr>
                <w:rFonts w:cs="AdvP40418"/>
              </w:rPr>
            </w:pPr>
            <w:r w:rsidRPr="00576E58">
              <w:rPr>
                <w:rFonts w:cs="AdvP40419"/>
              </w:rPr>
              <w:t xml:space="preserve">T </w:t>
            </w:r>
            <w:r w:rsidRPr="00576E58">
              <w:rPr>
                <w:rFonts w:cs="AdvP40418"/>
              </w:rPr>
              <w:t xml:space="preserve">is the temperature in Kelvin, </w:t>
            </w:r>
          </w:p>
          <w:p w:rsidR="00576E58" w:rsidRPr="00576E58" w:rsidRDefault="00576E58" w:rsidP="00576E58">
            <w:pPr>
              <w:autoSpaceDE w:val="0"/>
              <w:autoSpaceDN w:val="0"/>
              <w:adjustRightInd w:val="0"/>
              <w:rPr>
                <w:rFonts w:cs="AdvP40418"/>
              </w:rPr>
            </w:pPr>
            <w:r w:rsidRPr="00576E58">
              <w:rPr>
                <w:rFonts w:ascii="Symbol" w:hAnsi="Symbol" w:cs="AdvPi1"/>
              </w:rPr>
              <w:t></w:t>
            </w:r>
            <w:r w:rsidRPr="00576E58">
              <w:rPr>
                <w:rFonts w:cs="AdvP40419"/>
              </w:rPr>
              <w:t xml:space="preserve">G </w:t>
            </w:r>
            <w:r w:rsidRPr="00576E58">
              <w:rPr>
                <w:rFonts w:cs="AdvP40418"/>
              </w:rPr>
              <w:t xml:space="preserve">is the actual Gibbs free energy change, </w:t>
            </w:r>
          </w:p>
          <w:p w:rsidR="00576E58" w:rsidRPr="00576E58" w:rsidRDefault="00576E58" w:rsidP="00576E58">
            <w:pPr>
              <w:autoSpaceDE w:val="0"/>
              <w:autoSpaceDN w:val="0"/>
              <w:adjustRightInd w:val="0"/>
              <w:rPr>
                <w:rFonts w:cs="AdvP40418"/>
              </w:rPr>
            </w:pPr>
            <w:r w:rsidRPr="00576E58">
              <w:rPr>
                <w:rFonts w:ascii="Symbol" w:hAnsi="Symbol" w:cs="AdvPi1"/>
              </w:rPr>
              <w:t></w:t>
            </w:r>
            <w:r w:rsidRPr="00576E58">
              <w:rPr>
                <w:rFonts w:cs="AdvP40419"/>
              </w:rPr>
              <w:t xml:space="preserve">H </w:t>
            </w:r>
            <w:r w:rsidRPr="00576E58">
              <w:rPr>
                <w:rFonts w:cs="AdvP40418"/>
              </w:rPr>
              <w:t xml:space="preserve">is the enthalpy change, </w:t>
            </w:r>
          </w:p>
          <w:p w:rsidR="00576E58" w:rsidRPr="00576E58" w:rsidRDefault="00576E58" w:rsidP="00576E58">
            <w:pPr>
              <w:autoSpaceDE w:val="0"/>
              <w:autoSpaceDN w:val="0"/>
              <w:adjustRightInd w:val="0"/>
              <w:rPr>
                <w:rFonts w:cs="AdvP40418"/>
              </w:rPr>
            </w:pPr>
            <w:r w:rsidRPr="00576E58">
              <w:rPr>
                <w:rFonts w:ascii="Symbol" w:hAnsi="Symbol" w:cs="AdvPi1"/>
              </w:rPr>
              <w:t></w:t>
            </w:r>
            <w:r w:rsidRPr="00576E58">
              <w:rPr>
                <w:rFonts w:cs="AdvP40419"/>
              </w:rPr>
              <w:t xml:space="preserve">S </w:t>
            </w:r>
            <w:r w:rsidRPr="00576E58">
              <w:rPr>
                <w:rFonts w:cs="AdvP40418"/>
              </w:rPr>
              <w:t>is the entropy change for complex formation.</w:t>
            </w:r>
          </w:p>
        </w:tc>
      </w:tr>
    </w:tbl>
    <w:p w:rsidR="00576E58" w:rsidRPr="00576E58" w:rsidRDefault="00576E58" w:rsidP="00576E58">
      <w:pPr>
        <w:autoSpaceDE w:val="0"/>
        <w:autoSpaceDN w:val="0"/>
        <w:adjustRightInd w:val="0"/>
        <w:spacing w:after="0" w:line="240" w:lineRule="auto"/>
        <w:jc w:val="both"/>
        <w:rPr>
          <w:rFonts w:cs="AdvP40418"/>
          <w:color w:val="0000FF"/>
          <w:u w:val="single"/>
        </w:rPr>
      </w:pPr>
    </w:p>
    <w:p w:rsidR="00576E58" w:rsidRDefault="00576E58" w:rsidP="00576E5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dvP40418"/>
          <w:color w:val="0000FF"/>
          <w:u w:val="single"/>
        </w:rPr>
      </w:pPr>
      <w:r w:rsidRPr="00576E58">
        <w:rPr>
          <w:rFonts w:cs="AdvP40418"/>
          <w:color w:val="0000FF"/>
          <w:u w:val="single"/>
        </w:rPr>
        <w:t xml:space="preserve">The unique advantage of the ITC experiment is that it is possible in a single experiment, to obtain accurate values for </w:t>
      </w:r>
      <w:r w:rsidRPr="00576E58">
        <w:rPr>
          <w:rFonts w:cs="AdvP40419"/>
          <w:color w:val="0000FF"/>
          <w:u w:val="single"/>
        </w:rPr>
        <w:t xml:space="preserve">K </w:t>
      </w:r>
      <w:r w:rsidRPr="00576E58">
        <w:rPr>
          <w:rFonts w:cs="AdvP40418"/>
          <w:color w:val="0000FF"/>
          <w:u w:val="single"/>
        </w:rPr>
        <w:t xml:space="preserve">(or </w:t>
      </w:r>
      <w:r w:rsidRPr="00576E58">
        <w:rPr>
          <w:rFonts w:ascii="Symbol" w:hAnsi="Symbol" w:cs="AdvPi1"/>
          <w:color w:val="0000FF"/>
          <w:u w:val="single"/>
        </w:rPr>
        <w:t></w:t>
      </w:r>
      <w:r w:rsidRPr="00576E58">
        <w:rPr>
          <w:rFonts w:cs="AdvP40419"/>
          <w:color w:val="0000FF"/>
          <w:u w:val="single"/>
        </w:rPr>
        <w:t>G</w:t>
      </w:r>
      <w:r w:rsidRPr="00576E58">
        <w:rPr>
          <w:rFonts w:cs="AdvP40418"/>
          <w:color w:val="0000FF"/>
          <w:u w:val="single"/>
        </w:rPr>
        <w:t xml:space="preserve">), </w:t>
      </w:r>
      <w:r w:rsidRPr="00576E58">
        <w:rPr>
          <w:rFonts w:ascii="Symbol" w:hAnsi="Symbol" w:cs="AdvPi1"/>
          <w:color w:val="0000FF"/>
          <w:u w:val="single"/>
        </w:rPr>
        <w:t></w:t>
      </w:r>
      <w:r w:rsidRPr="00576E58">
        <w:rPr>
          <w:rFonts w:cs="AdvP40419"/>
          <w:color w:val="0000FF"/>
          <w:u w:val="single"/>
        </w:rPr>
        <w:t>H</w:t>
      </w:r>
      <w:r w:rsidRPr="00576E58">
        <w:rPr>
          <w:rFonts w:cs="AdvP40418"/>
          <w:color w:val="0000FF"/>
          <w:u w:val="single"/>
        </w:rPr>
        <w:t xml:space="preserve">, </w:t>
      </w:r>
      <w:r w:rsidRPr="00576E58">
        <w:rPr>
          <w:rFonts w:cs="AdvP4C4E74"/>
          <w:color w:val="0000FF"/>
          <w:u w:val="single"/>
        </w:rPr>
        <w:t>-</w:t>
      </w:r>
      <w:r w:rsidRPr="00576E58">
        <w:rPr>
          <w:rFonts w:cs="AdvP40419"/>
          <w:color w:val="0000FF"/>
          <w:u w:val="single"/>
        </w:rPr>
        <w:t>T</w:t>
      </w:r>
      <w:r w:rsidRPr="00576E58">
        <w:rPr>
          <w:rFonts w:ascii="Symbol" w:hAnsi="Symbol" w:cs="AdvPi1"/>
          <w:color w:val="0000FF"/>
          <w:u w:val="single"/>
        </w:rPr>
        <w:t></w:t>
      </w:r>
      <w:r w:rsidRPr="00576E58">
        <w:rPr>
          <w:rFonts w:cs="AdvP40419"/>
          <w:color w:val="0000FF"/>
          <w:u w:val="single"/>
        </w:rPr>
        <w:t>S</w:t>
      </w:r>
      <w:r w:rsidRPr="00576E58">
        <w:rPr>
          <w:rFonts w:cs="AdvP40418"/>
          <w:color w:val="0000FF"/>
          <w:u w:val="single"/>
        </w:rPr>
        <w:t xml:space="preserve">, and </w:t>
      </w:r>
      <w:r w:rsidRPr="00576E58">
        <w:rPr>
          <w:rFonts w:cs="AdvP40419"/>
          <w:color w:val="0000FF"/>
          <w:u w:val="single"/>
        </w:rPr>
        <w:t>n</w:t>
      </w:r>
      <w:r w:rsidRPr="00576E58">
        <w:rPr>
          <w:rFonts w:cs="AdvP40418"/>
          <w:color w:val="0000FF"/>
          <w:u w:val="single"/>
        </w:rPr>
        <w:t xml:space="preserve">, where </w:t>
      </w:r>
      <w:r w:rsidRPr="00576E58">
        <w:rPr>
          <w:rFonts w:cs="AdvP40419"/>
          <w:color w:val="0000FF"/>
          <w:u w:val="single"/>
        </w:rPr>
        <w:t xml:space="preserve">n </w:t>
      </w:r>
      <w:r w:rsidRPr="00576E58">
        <w:rPr>
          <w:rFonts w:cs="AdvP40418"/>
          <w:color w:val="0000FF"/>
          <w:u w:val="single"/>
        </w:rPr>
        <w:t xml:space="preserve">is the </w:t>
      </w:r>
      <w:proofErr w:type="spellStart"/>
      <w:r w:rsidRPr="00576E58">
        <w:rPr>
          <w:rFonts w:cs="AdvP40418"/>
          <w:color w:val="0000FF"/>
          <w:u w:val="single"/>
        </w:rPr>
        <w:t>stoichiometry</w:t>
      </w:r>
      <w:proofErr w:type="spellEnd"/>
      <w:r w:rsidRPr="00576E58">
        <w:rPr>
          <w:rFonts w:cs="AdvP40418"/>
          <w:color w:val="0000FF"/>
          <w:u w:val="single"/>
        </w:rPr>
        <w:t xml:space="preserve"> of the interaction (mol </w:t>
      </w:r>
      <w:proofErr w:type="spellStart"/>
      <w:r w:rsidRPr="00576E58">
        <w:rPr>
          <w:rFonts w:cs="AdvP40418"/>
          <w:color w:val="0000FF"/>
          <w:u w:val="single"/>
        </w:rPr>
        <w:t>ligand</w:t>
      </w:r>
      <w:proofErr w:type="spellEnd"/>
      <w:r w:rsidRPr="00576E58">
        <w:rPr>
          <w:rFonts w:cs="AdvP40418"/>
          <w:color w:val="0000FF"/>
          <w:u w:val="single"/>
        </w:rPr>
        <w:t>/mol complex).</w:t>
      </w:r>
    </w:p>
    <w:p w:rsidR="00576E58" w:rsidRDefault="00576E58" w:rsidP="00576E5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dvP40418"/>
          <w:color w:val="0000FF"/>
          <w:u w:val="single"/>
        </w:rPr>
      </w:pPr>
    </w:p>
    <w:p w:rsidR="00576E58" w:rsidRPr="00576E58" w:rsidRDefault="00576E58" w:rsidP="00576E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cs="AdvP40418"/>
          <w:color w:val="000000"/>
        </w:rPr>
      </w:pPr>
      <w:r w:rsidRPr="00576E58">
        <w:rPr>
          <w:rFonts w:cs="AdvP40418"/>
          <w:color w:val="000000"/>
        </w:rPr>
        <w:t>A typical enzyme substrate interaction is illustrated below</w:t>
      </w:r>
    </w:p>
    <w:p w:rsidR="00576E58" w:rsidRPr="00576E58" w:rsidRDefault="00576E58" w:rsidP="00576E58">
      <w:pPr>
        <w:autoSpaceDE w:val="0"/>
        <w:autoSpaceDN w:val="0"/>
        <w:adjustRightInd w:val="0"/>
        <w:spacing w:after="0" w:line="240" w:lineRule="auto"/>
        <w:jc w:val="right"/>
        <w:rPr>
          <w:rFonts w:cs="AdvP40418"/>
          <w:color w:val="000000"/>
        </w:rPr>
      </w:pPr>
      <w:r w:rsidRPr="00576E58">
        <w:rPr>
          <w:rFonts w:cs="AdvP40418"/>
          <w:noProof/>
          <w:color w:val="000000"/>
        </w:rPr>
        <w:drawing>
          <wp:inline distT="0" distB="0" distL="0" distR="0">
            <wp:extent cx="5943600" cy="17907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E58" w:rsidRPr="00576E58" w:rsidRDefault="00576E58" w:rsidP="00576E58">
      <w:pPr>
        <w:autoSpaceDE w:val="0"/>
        <w:autoSpaceDN w:val="0"/>
        <w:adjustRightInd w:val="0"/>
        <w:spacing w:after="0" w:line="240" w:lineRule="auto"/>
        <w:jc w:val="both"/>
        <w:rPr>
          <w:rFonts w:cs="AdvP40418"/>
        </w:rPr>
      </w:pPr>
    </w:p>
    <w:p w:rsidR="00576E58" w:rsidRDefault="00576E58" w:rsidP="00576E5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dvP40418"/>
        </w:rPr>
      </w:pPr>
      <w:r w:rsidRPr="00576E58">
        <w:rPr>
          <w:rFonts w:cs="AdvP40418"/>
        </w:rPr>
        <w:lastRenderedPageBreak/>
        <w:t>The following equations are provided as a review of the relevant kinetic relationships:</w:t>
      </w:r>
    </w:p>
    <w:tbl>
      <w:tblPr>
        <w:tblStyle w:val="TableGrid"/>
        <w:tblW w:w="8640" w:type="dxa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0"/>
        <w:gridCol w:w="4680"/>
      </w:tblGrid>
      <w:tr w:rsidR="00576E58" w:rsidRPr="00576E58" w:rsidTr="00576E58">
        <w:tc>
          <w:tcPr>
            <w:tcW w:w="3960" w:type="dxa"/>
            <w:vAlign w:val="center"/>
          </w:tcPr>
          <w:p w:rsidR="00576E58" w:rsidRPr="00576E58" w:rsidRDefault="00576E58" w:rsidP="00D02A73">
            <w:pPr>
              <w:autoSpaceDE w:val="0"/>
              <w:autoSpaceDN w:val="0"/>
              <w:adjustRightInd w:val="0"/>
              <w:rPr>
                <w:rFonts w:cs="AdvP40418"/>
              </w:rPr>
            </w:pPr>
            <w:r w:rsidRPr="00576E58">
              <w:rPr>
                <w:rFonts w:cs="AdvP40418"/>
              </w:rPr>
              <w:drawing>
                <wp:inline distT="0" distB="0" distL="0" distR="0">
                  <wp:extent cx="3186457" cy="1571625"/>
                  <wp:effectExtent l="19050" t="0" r="0" b="0"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74" cy="1573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Align w:val="center"/>
          </w:tcPr>
          <w:p w:rsidR="00576E58" w:rsidRDefault="00576E58" w:rsidP="00576E58">
            <w:pPr>
              <w:autoSpaceDE w:val="0"/>
              <w:autoSpaceDN w:val="0"/>
              <w:adjustRightInd w:val="0"/>
              <w:rPr>
                <w:rFonts w:cs="AdvP40418"/>
                <w:color w:val="000000"/>
              </w:rPr>
            </w:pPr>
            <w:r w:rsidRPr="00576E58">
              <w:rPr>
                <w:rFonts w:cs="AdvP40419"/>
                <w:color w:val="000000"/>
              </w:rPr>
              <w:t>k</w:t>
            </w:r>
            <w:r w:rsidRPr="00576E58">
              <w:rPr>
                <w:rFonts w:cs="AdvP40418"/>
                <w:color w:val="000000"/>
              </w:rPr>
              <w:t xml:space="preserve">1, </w:t>
            </w:r>
            <w:r w:rsidRPr="00576E58">
              <w:rPr>
                <w:rFonts w:cs="AdvP40419"/>
                <w:color w:val="000000"/>
              </w:rPr>
              <w:t>k</w:t>
            </w:r>
            <w:r w:rsidRPr="00576E58">
              <w:rPr>
                <w:rFonts w:cs="AdvP4C4E74"/>
                <w:color w:val="000000"/>
              </w:rPr>
              <w:t>-</w:t>
            </w:r>
            <w:r w:rsidRPr="00576E58">
              <w:rPr>
                <w:rFonts w:cs="AdvP40418"/>
                <w:color w:val="000000"/>
              </w:rPr>
              <w:t xml:space="preserve">1, and </w:t>
            </w:r>
            <w:r w:rsidRPr="00576E58">
              <w:rPr>
                <w:rFonts w:cs="AdvP40419"/>
                <w:color w:val="000000"/>
              </w:rPr>
              <w:t>k</w:t>
            </w:r>
            <w:r w:rsidRPr="00576E58">
              <w:rPr>
                <w:rFonts w:cs="AdvP40418"/>
                <w:color w:val="000000"/>
              </w:rPr>
              <w:t>2 are the rate constants for the forward and reverse reactions in</w:t>
            </w:r>
            <w:r>
              <w:rPr>
                <w:rFonts w:cs="AdvP40418"/>
                <w:color w:val="000000"/>
              </w:rPr>
              <w:t xml:space="preserve"> </w:t>
            </w:r>
            <w:r w:rsidRPr="00576E58">
              <w:rPr>
                <w:rFonts w:cs="AdvP40418"/>
                <w:color w:val="000000"/>
              </w:rPr>
              <w:t xml:space="preserve">the reaction scheme, </w:t>
            </w:r>
          </w:p>
          <w:p w:rsidR="00576E58" w:rsidRDefault="00576E58" w:rsidP="00576E58">
            <w:pPr>
              <w:autoSpaceDE w:val="0"/>
              <w:autoSpaceDN w:val="0"/>
              <w:adjustRightInd w:val="0"/>
              <w:rPr>
                <w:rFonts w:cs="AdvP40418"/>
                <w:color w:val="000000"/>
              </w:rPr>
            </w:pPr>
            <w:r w:rsidRPr="00576E58">
              <w:rPr>
                <w:rFonts w:cs="AdvP40419"/>
                <w:color w:val="000000"/>
              </w:rPr>
              <w:t>K</w:t>
            </w:r>
            <w:r w:rsidRPr="00576E58">
              <w:rPr>
                <w:rFonts w:cs="AdvP40418"/>
                <w:color w:val="000000"/>
              </w:rPr>
              <w:t xml:space="preserve">m is the </w:t>
            </w:r>
            <w:proofErr w:type="spellStart"/>
            <w:r w:rsidRPr="00576E58">
              <w:rPr>
                <w:rFonts w:cs="AdvP40418"/>
                <w:color w:val="000000"/>
              </w:rPr>
              <w:t>Michaelis</w:t>
            </w:r>
            <w:proofErr w:type="spellEnd"/>
            <w:r w:rsidRPr="00576E58">
              <w:rPr>
                <w:rFonts w:cs="AdvP40418"/>
                <w:color w:val="000000"/>
              </w:rPr>
              <w:t xml:space="preserve"> constant, </w:t>
            </w:r>
          </w:p>
          <w:p w:rsidR="00576E58" w:rsidRDefault="00576E58" w:rsidP="00576E58">
            <w:pPr>
              <w:autoSpaceDE w:val="0"/>
              <w:autoSpaceDN w:val="0"/>
              <w:adjustRightInd w:val="0"/>
              <w:rPr>
                <w:rFonts w:cs="AdvP40418"/>
                <w:color w:val="000000"/>
              </w:rPr>
            </w:pPr>
            <w:r w:rsidRPr="00576E58">
              <w:rPr>
                <w:rFonts w:cs="AdvP40419"/>
                <w:color w:val="000000"/>
              </w:rPr>
              <w:t xml:space="preserve">K </w:t>
            </w:r>
            <w:r w:rsidRPr="00576E58">
              <w:rPr>
                <w:rFonts w:cs="AdvP40418"/>
                <w:color w:val="000000"/>
              </w:rPr>
              <w:t xml:space="preserve">is the binding constant, </w:t>
            </w:r>
          </w:p>
          <w:p w:rsidR="00576E58" w:rsidRDefault="00576E58" w:rsidP="00576E58">
            <w:pPr>
              <w:autoSpaceDE w:val="0"/>
              <w:autoSpaceDN w:val="0"/>
              <w:adjustRightInd w:val="0"/>
              <w:rPr>
                <w:rFonts w:cs="AdvP40418"/>
                <w:color w:val="000000"/>
              </w:rPr>
            </w:pPr>
            <w:proofErr w:type="spellStart"/>
            <w:r w:rsidRPr="00576E58">
              <w:rPr>
                <w:rFonts w:cs="AdvP40419"/>
                <w:color w:val="000000"/>
              </w:rPr>
              <w:t>k</w:t>
            </w:r>
            <w:r w:rsidRPr="00576E58">
              <w:rPr>
                <w:rFonts w:cs="AdvP40418"/>
                <w:color w:val="000000"/>
              </w:rPr>
              <w:t>cat</w:t>
            </w:r>
            <w:proofErr w:type="spellEnd"/>
            <w:r w:rsidRPr="00576E58">
              <w:rPr>
                <w:rFonts w:cs="AdvP40418"/>
                <w:color w:val="000000"/>
              </w:rPr>
              <w:t xml:space="preserve"> is</w:t>
            </w:r>
            <w:r>
              <w:rPr>
                <w:rFonts w:cs="AdvP40418"/>
                <w:color w:val="000000"/>
              </w:rPr>
              <w:t xml:space="preserve"> </w:t>
            </w:r>
            <w:r w:rsidRPr="00576E58">
              <w:rPr>
                <w:rFonts w:cs="AdvP40418"/>
                <w:color w:val="000000"/>
              </w:rPr>
              <w:t xml:space="preserve">the turnover number, </w:t>
            </w:r>
          </w:p>
          <w:p w:rsidR="00576E58" w:rsidRDefault="00576E58" w:rsidP="00576E58">
            <w:pPr>
              <w:autoSpaceDE w:val="0"/>
              <w:autoSpaceDN w:val="0"/>
              <w:adjustRightInd w:val="0"/>
              <w:rPr>
                <w:rFonts w:cs="AdvP40418"/>
                <w:color w:val="000000"/>
              </w:rPr>
            </w:pPr>
            <w:r w:rsidRPr="00576E58">
              <w:rPr>
                <w:rFonts w:cs="AdvP40419"/>
                <w:color w:val="000000"/>
              </w:rPr>
              <w:t>v</w:t>
            </w:r>
            <w:r w:rsidRPr="00576E58">
              <w:rPr>
                <w:rFonts w:cs="AdvP40418"/>
                <w:color w:val="000000"/>
              </w:rPr>
              <w:t xml:space="preserve">0 is the initial velocity, </w:t>
            </w:r>
          </w:p>
          <w:p w:rsidR="00576E58" w:rsidRPr="00576E58" w:rsidRDefault="00576E58" w:rsidP="00576E58">
            <w:pPr>
              <w:autoSpaceDE w:val="0"/>
              <w:autoSpaceDN w:val="0"/>
              <w:adjustRightInd w:val="0"/>
              <w:rPr>
                <w:rFonts w:cs="AdvP40418"/>
                <w:color w:val="000000"/>
              </w:rPr>
            </w:pPr>
            <w:proofErr w:type="spellStart"/>
            <w:r w:rsidRPr="00576E58">
              <w:rPr>
                <w:rFonts w:cs="AdvP40419"/>
                <w:color w:val="000000"/>
              </w:rPr>
              <w:t>v</w:t>
            </w:r>
            <w:r w:rsidRPr="00576E58">
              <w:rPr>
                <w:rFonts w:cs="AdvP40418"/>
                <w:color w:val="000000"/>
              </w:rPr>
              <w:t>max</w:t>
            </w:r>
            <w:proofErr w:type="spellEnd"/>
            <w:r w:rsidRPr="00576E58">
              <w:rPr>
                <w:rFonts w:cs="AdvP40418"/>
                <w:color w:val="000000"/>
              </w:rPr>
              <w:t xml:space="preserve"> is the maximal velocity (when</w:t>
            </w:r>
            <w:r>
              <w:rPr>
                <w:rFonts w:cs="AdvP40418"/>
                <w:color w:val="000000"/>
              </w:rPr>
              <w:t xml:space="preserve"> </w:t>
            </w:r>
            <w:r w:rsidRPr="00576E58">
              <w:rPr>
                <w:rFonts w:cs="AdvP40418"/>
                <w:color w:val="000000"/>
              </w:rPr>
              <w:t xml:space="preserve">[ES] </w:t>
            </w:r>
            <w:r>
              <w:rPr>
                <w:rFonts w:cs="AdvP4C4E74"/>
                <w:color w:val="000000"/>
              </w:rPr>
              <w:t>=</w:t>
            </w:r>
            <w:r w:rsidRPr="00576E58">
              <w:rPr>
                <w:rFonts w:cs="AdvP4C4E74"/>
                <w:color w:val="000000"/>
              </w:rPr>
              <w:t xml:space="preserve"> </w:t>
            </w:r>
            <w:r w:rsidRPr="00576E58">
              <w:rPr>
                <w:rFonts w:cs="AdvP40418"/>
                <w:color w:val="000000"/>
              </w:rPr>
              <w:t xml:space="preserve">[E]t), [X] is the molar concentration of species </w:t>
            </w:r>
            <w:r w:rsidRPr="00576E58">
              <w:rPr>
                <w:rFonts w:cs="AdvP40419"/>
                <w:color w:val="000000"/>
              </w:rPr>
              <w:t>X</w:t>
            </w:r>
            <w:r w:rsidRPr="00576E58">
              <w:rPr>
                <w:rFonts w:cs="AdvP40418"/>
                <w:color w:val="000000"/>
              </w:rPr>
              <w:t>.</w:t>
            </w:r>
          </w:p>
        </w:tc>
      </w:tr>
    </w:tbl>
    <w:p w:rsidR="00576E58" w:rsidRDefault="00576E58" w:rsidP="00576E5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dvP40418"/>
          <w:color w:val="000000"/>
        </w:rPr>
      </w:pPr>
      <w:r w:rsidRPr="00576E58">
        <w:rPr>
          <w:rFonts w:cs="AdvP40418"/>
          <w:color w:val="000000"/>
        </w:rPr>
        <w:t>This heat rate is</w:t>
      </w:r>
      <w:r>
        <w:rPr>
          <w:rFonts w:cs="AdvP40418"/>
          <w:color w:val="000000"/>
        </w:rPr>
        <w:t xml:space="preserve"> </w:t>
      </w:r>
      <w:r w:rsidRPr="00576E58">
        <w:rPr>
          <w:rFonts w:cs="AdvP40418"/>
          <w:color w:val="000000"/>
        </w:rPr>
        <w:t>simply equal to the reaction rate multiplied by the enthalpy change for the reaction</w:t>
      </w:r>
      <w:r>
        <w:rPr>
          <w:rFonts w:cs="AdvP40418"/>
          <w:color w:val="000000"/>
        </w:rPr>
        <w:t xml:space="preserve"> </w:t>
      </w:r>
      <w:r w:rsidRPr="00576E58">
        <w:rPr>
          <w:rFonts w:cs="AdvP40418"/>
          <w:color w:val="000000"/>
        </w:rPr>
        <w:t xml:space="preserve">as shown </w:t>
      </w:r>
      <w:proofErr w:type="gramStart"/>
      <w:r w:rsidRPr="00576E58">
        <w:rPr>
          <w:rFonts w:cs="AdvP40418"/>
          <w:color w:val="000000"/>
        </w:rPr>
        <w:t xml:space="preserve">in </w:t>
      </w:r>
      <w:proofErr w:type="gramEnd"/>
      <w:r>
        <w:rPr>
          <w:rFonts w:cs="AdvP40418"/>
          <w:noProof/>
          <w:color w:val="000000"/>
        </w:rPr>
        <w:drawing>
          <wp:inline distT="0" distB="0" distL="0" distR="0">
            <wp:extent cx="723900" cy="242919"/>
            <wp:effectExtent l="19050" t="0" r="0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dvP40418"/>
          <w:color w:val="000000"/>
        </w:rPr>
        <w:t>.</w:t>
      </w:r>
    </w:p>
    <w:p w:rsidR="00576E58" w:rsidRDefault="00576E58" w:rsidP="00576E5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dvP40418"/>
          <w:color w:val="000000"/>
        </w:rPr>
      </w:pPr>
    </w:p>
    <w:p w:rsidR="00576E58" w:rsidRDefault="00576E58" w:rsidP="00576E5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dvP40418"/>
          <w:color w:val="000000"/>
        </w:rPr>
      </w:pPr>
      <w:r w:rsidRPr="00576E58">
        <w:rPr>
          <w:rFonts w:cs="AdvP40418"/>
          <w:color w:val="0000FF"/>
          <w:u w:val="single"/>
        </w:rPr>
        <w:t>The raw calorimetric signal is thus a direct measure of the reaction rate making the calorimeter an ideal instrument for kinetic studies.</w:t>
      </w:r>
      <w:r>
        <w:rPr>
          <w:rFonts w:cs="AdvP40418"/>
          <w:color w:val="000000"/>
        </w:rPr>
        <w:t xml:space="preserve"> </w:t>
      </w:r>
    </w:p>
    <w:p w:rsidR="00576E58" w:rsidRDefault="00576E58" w:rsidP="00576E5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dvP40418"/>
          <w:color w:val="000000"/>
        </w:rPr>
      </w:pPr>
    </w:p>
    <w:p w:rsidR="00576E58" w:rsidRDefault="00576E58" w:rsidP="00576E5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dvP40418"/>
          <w:u w:val="single"/>
        </w:rPr>
      </w:pPr>
      <w:r w:rsidRPr="00576E58">
        <w:rPr>
          <w:rFonts w:cs="AdvP40418"/>
          <w:color w:val="0000FF"/>
          <w:u w:val="single"/>
        </w:rPr>
        <w:t xml:space="preserve">ITC is also sensitive enough (noise levels </w:t>
      </w:r>
      <w:r w:rsidRPr="00576E58">
        <w:rPr>
          <w:rFonts w:cs="AdvP4C4E51"/>
          <w:color w:val="0000FF"/>
          <w:u w:val="single"/>
        </w:rPr>
        <w:t>&gt;</w:t>
      </w:r>
      <w:r w:rsidRPr="00576E58">
        <w:rPr>
          <w:rFonts w:cs="AdvP40418"/>
          <w:color w:val="0000FF"/>
          <w:u w:val="single"/>
        </w:rPr>
        <w:t xml:space="preserve">0.01 </w:t>
      </w:r>
      <w:proofErr w:type="spellStart"/>
      <w:r w:rsidRPr="00576E58">
        <w:rPr>
          <w:rFonts w:cs="AdvPi2"/>
          <w:color w:val="0000FF"/>
          <w:u w:val="single"/>
        </w:rPr>
        <w:t>m</w:t>
      </w:r>
      <w:r w:rsidRPr="00576E58">
        <w:rPr>
          <w:rFonts w:cs="AdvP40418"/>
          <w:color w:val="0000FF"/>
          <w:u w:val="single"/>
        </w:rPr>
        <w:t>cal</w:t>
      </w:r>
      <w:proofErr w:type="spellEnd"/>
      <w:r w:rsidRPr="00576E58">
        <w:rPr>
          <w:rFonts w:cs="AdvP40418"/>
          <w:color w:val="0000FF"/>
          <w:u w:val="single"/>
        </w:rPr>
        <w:t xml:space="preserve">/sec) that enzyme concentrations and volumes required are similar to those needed for </w:t>
      </w:r>
      <w:proofErr w:type="spellStart"/>
      <w:r w:rsidRPr="00576E58">
        <w:rPr>
          <w:rFonts w:cs="AdvP40418"/>
          <w:color w:val="0000FF"/>
          <w:u w:val="single"/>
        </w:rPr>
        <w:t>spectrophotometric</w:t>
      </w:r>
      <w:proofErr w:type="spellEnd"/>
      <w:r w:rsidRPr="00576E58">
        <w:rPr>
          <w:rFonts w:cs="AdvP40418"/>
          <w:color w:val="0000FF"/>
          <w:u w:val="single"/>
        </w:rPr>
        <w:t xml:space="preserve"> analyses.</w:t>
      </w:r>
      <w:r w:rsidRPr="00576E58">
        <w:rPr>
          <w:rFonts w:cs="AdvP40418"/>
          <w:u w:val="single"/>
        </w:rPr>
        <w:t xml:space="preserve"> </w:t>
      </w:r>
    </w:p>
    <w:p w:rsidR="00576E58" w:rsidRDefault="00576E58" w:rsidP="00576E58">
      <w:pPr>
        <w:autoSpaceDE w:val="0"/>
        <w:autoSpaceDN w:val="0"/>
        <w:adjustRightInd w:val="0"/>
        <w:spacing w:after="0" w:line="240" w:lineRule="auto"/>
        <w:jc w:val="both"/>
        <w:rPr>
          <w:rFonts w:cs="AdvP40418"/>
          <w:u w:val="single"/>
        </w:rPr>
      </w:pPr>
    </w:p>
    <w:p w:rsidR="00576E58" w:rsidRPr="00576E58" w:rsidRDefault="00576E58" w:rsidP="00576E58">
      <w:pPr>
        <w:autoSpaceDE w:val="0"/>
        <w:autoSpaceDN w:val="0"/>
        <w:adjustRightInd w:val="0"/>
        <w:spacing w:after="0" w:line="240" w:lineRule="auto"/>
        <w:jc w:val="both"/>
        <w:rPr>
          <w:color w:val="0000FF"/>
          <w:u w:val="single"/>
        </w:rPr>
      </w:pPr>
      <w:r w:rsidRPr="00576E58">
        <w:rPr>
          <w:rFonts w:cs="AdvP40418"/>
          <w:color w:val="0000FF"/>
          <w:u w:val="single"/>
        </w:rPr>
        <w:t xml:space="preserve">In summary, </w:t>
      </w:r>
      <w:r w:rsidRPr="00576E58">
        <w:rPr>
          <w:rFonts w:cs="AkzidenzGroteskBE-Regular"/>
          <w:color w:val="0000FF"/>
          <w:u w:val="single"/>
        </w:rPr>
        <w:t>ITC is the only one capable of measuring not only the magnitude of the binding affinity but also the magnitude of the two thermodynamic terms that define the binding affinity: the enthalpy (</w:t>
      </w:r>
      <w:r w:rsidRPr="00576E58">
        <w:rPr>
          <w:rFonts w:cs="Symbol"/>
          <w:color w:val="0000FF"/>
          <w:u w:val="single"/>
        </w:rPr>
        <w:t>Δ</w:t>
      </w:r>
      <w:r w:rsidRPr="00576E58">
        <w:rPr>
          <w:rFonts w:cs="AkzidenzGroteskBE-Regular"/>
          <w:color w:val="0000FF"/>
          <w:u w:val="single"/>
        </w:rPr>
        <w:t>H) and entropy (</w:t>
      </w:r>
      <w:r w:rsidRPr="00576E58">
        <w:rPr>
          <w:rFonts w:cs="Symbol"/>
          <w:color w:val="0000FF"/>
          <w:u w:val="single"/>
        </w:rPr>
        <w:t>Δ</w:t>
      </w:r>
      <w:r w:rsidRPr="00576E58">
        <w:rPr>
          <w:rFonts w:cs="AkzidenzGroteskBE-Regular"/>
          <w:color w:val="0000FF"/>
          <w:u w:val="single"/>
        </w:rPr>
        <w:t xml:space="preserve">S) changes. Because isothermal titration </w:t>
      </w:r>
      <w:proofErr w:type="spellStart"/>
      <w:r w:rsidRPr="00576E58">
        <w:rPr>
          <w:rFonts w:cs="AkzidenzGroteskBE-Regular"/>
          <w:color w:val="0000FF"/>
          <w:u w:val="single"/>
        </w:rPr>
        <w:t>calorimetry</w:t>
      </w:r>
      <w:proofErr w:type="spellEnd"/>
      <w:r w:rsidRPr="00576E58">
        <w:rPr>
          <w:rFonts w:cs="AkzidenzGroteskBE-Regular"/>
          <w:color w:val="0000FF"/>
          <w:u w:val="single"/>
        </w:rPr>
        <w:t xml:space="preserve"> has the capability to measure different energetic contributions to the binding affinity, it provides a unique bridge between computational and experimental analysis. As such, it is increasingly becoming an essential tool in molecular design.</w:t>
      </w:r>
    </w:p>
    <w:p w:rsidR="00576E58" w:rsidRDefault="00576E58" w:rsidP="00576E58">
      <w:pPr>
        <w:autoSpaceDE w:val="0"/>
        <w:autoSpaceDN w:val="0"/>
        <w:adjustRightInd w:val="0"/>
        <w:spacing w:after="0" w:line="240" w:lineRule="auto"/>
        <w:jc w:val="both"/>
        <w:rPr>
          <w:rFonts w:cs="AdvP40418"/>
          <w:color w:val="000000"/>
          <w:u w:val="single"/>
        </w:rPr>
      </w:pPr>
    </w:p>
    <w:sectPr w:rsidR="00576E58" w:rsidSect="00576E58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0418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041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i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4C4E7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C4E5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i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E1A06"/>
    <w:multiLevelType w:val="hybridMultilevel"/>
    <w:tmpl w:val="A93E3454"/>
    <w:lvl w:ilvl="0" w:tplc="28EE8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E58"/>
    <w:rsid w:val="00576E58"/>
    <w:rsid w:val="00840993"/>
    <w:rsid w:val="00E4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E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6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6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358</Words>
  <Characters>2044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2</cp:revision>
  <dcterms:created xsi:type="dcterms:W3CDTF">2013-11-20T19:06:00Z</dcterms:created>
  <dcterms:modified xsi:type="dcterms:W3CDTF">2013-11-20T21:05:00Z</dcterms:modified>
</cp:coreProperties>
</file>