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6" w:rsidRDefault="002B1C35" w:rsidP="004F6BB5">
      <w:pPr>
        <w:jc w:val="center"/>
        <w:rPr>
          <w:b/>
          <w:sz w:val="24"/>
          <w:szCs w:val="24"/>
        </w:rPr>
      </w:pPr>
      <w:r w:rsidRPr="002B1C35">
        <w:rPr>
          <w:b/>
          <w:sz w:val="24"/>
          <w:szCs w:val="24"/>
        </w:rPr>
        <w:t>Commentary on DLS results for Enzo Sirt3 (E-Sirt3) and truncated Sirt3 (T-Sirt3):</w:t>
      </w:r>
    </w:p>
    <w:p w:rsidR="004F6BB5" w:rsidRDefault="004F6BB5" w:rsidP="004F6BB5">
      <w:pPr>
        <w:rPr>
          <w:b/>
          <w:sz w:val="24"/>
          <w:szCs w:val="24"/>
        </w:rPr>
      </w:pPr>
    </w:p>
    <w:p w:rsidR="004872B5" w:rsidRDefault="004872B5" w:rsidP="004872B5">
      <w:pPr>
        <w:rPr>
          <w:b/>
          <w:sz w:val="24"/>
          <w:szCs w:val="24"/>
        </w:rPr>
      </w:pPr>
      <w:r w:rsidRPr="004872B5">
        <w:rPr>
          <w:b/>
          <w:sz w:val="24"/>
          <w:szCs w:val="24"/>
          <w:u w:val="single"/>
        </w:rPr>
        <w:t>E-Sirt3</w:t>
      </w:r>
      <w:r w:rsidRPr="004872B5">
        <w:rPr>
          <w:b/>
          <w:sz w:val="24"/>
          <w:szCs w:val="24"/>
        </w:rPr>
        <w:t>:</w:t>
      </w:r>
    </w:p>
    <w:p w:rsidR="00F763F8" w:rsidRDefault="00F763F8" w:rsidP="004872B5">
      <w:pPr>
        <w:rPr>
          <w:b/>
          <w:sz w:val="24"/>
          <w:szCs w:val="24"/>
        </w:rPr>
      </w:pPr>
    </w:p>
    <w:p w:rsidR="004872B5" w:rsidRDefault="00F763F8" w:rsidP="004872B5">
      <w:pPr>
        <w:rPr>
          <w:b/>
          <w:sz w:val="24"/>
          <w:szCs w:val="24"/>
        </w:rPr>
      </w:pPr>
      <w:r w:rsidRPr="004872B5">
        <w:rPr>
          <w:b/>
          <w:noProof/>
          <w:sz w:val="24"/>
          <w:szCs w:val="24"/>
        </w:rPr>
        <w:drawing>
          <wp:inline distT="0" distB="0" distL="0" distR="0" wp14:anchorId="4D44F161" wp14:editId="68ECE36A">
            <wp:extent cx="5943600" cy="1818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F8" w:rsidRDefault="00F763F8" w:rsidP="004872B5">
      <w:pPr>
        <w:rPr>
          <w:b/>
          <w:sz w:val="24"/>
          <w:szCs w:val="24"/>
        </w:rPr>
      </w:pPr>
    </w:p>
    <w:p w:rsidR="00F763F8" w:rsidRDefault="00F763F8" w:rsidP="004872B5">
      <w:pPr>
        <w:rPr>
          <w:b/>
          <w:sz w:val="24"/>
          <w:szCs w:val="24"/>
        </w:rPr>
      </w:pPr>
    </w:p>
    <w:p w:rsidR="004872B5" w:rsidRDefault="004872B5" w:rsidP="004872B5">
      <w:pPr>
        <w:rPr>
          <w:b/>
          <w:sz w:val="24"/>
          <w:szCs w:val="24"/>
        </w:rPr>
      </w:pPr>
      <w:r w:rsidRPr="004872B5">
        <w:rPr>
          <w:b/>
          <w:noProof/>
          <w:sz w:val="24"/>
          <w:szCs w:val="24"/>
        </w:rPr>
        <w:drawing>
          <wp:inline distT="0" distB="0" distL="0" distR="0">
            <wp:extent cx="6210300" cy="44696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253" cy="447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F8" w:rsidRDefault="004872B5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72B5">
        <w:rPr>
          <w:sz w:val="24"/>
          <w:szCs w:val="24"/>
        </w:rPr>
        <w:lastRenderedPageBreak/>
        <w:t>The main peak by intensity, which represents 78.1% of the total scattering intensity, is the</w:t>
      </w:r>
      <w:r>
        <w:rPr>
          <w:sz w:val="24"/>
          <w:szCs w:val="24"/>
        </w:rPr>
        <w:t xml:space="preserve"> </w:t>
      </w:r>
      <w:r w:rsidRPr="004872B5">
        <w:rPr>
          <w:sz w:val="24"/>
          <w:szCs w:val="24"/>
        </w:rPr>
        <w:t>second peak, which has a mean radius (the intensity-weighted average across the peak) of 33.6</w:t>
      </w:r>
      <w:r>
        <w:rPr>
          <w:sz w:val="24"/>
          <w:szCs w:val="24"/>
        </w:rPr>
        <w:t xml:space="preserve"> </w:t>
      </w:r>
      <w:r w:rsidRPr="004872B5">
        <w:rPr>
          <w:sz w:val="24"/>
          <w:szCs w:val="24"/>
        </w:rPr>
        <w:t xml:space="preserve">nm. That radius corresponds to a molar mass of 13 </w:t>
      </w:r>
      <w:proofErr w:type="spellStart"/>
      <w:r w:rsidRPr="004872B5">
        <w:rPr>
          <w:sz w:val="24"/>
          <w:szCs w:val="24"/>
        </w:rPr>
        <w:t>MDa</w:t>
      </w:r>
      <w:proofErr w:type="spellEnd"/>
      <w:r w:rsidRPr="004872B5">
        <w:rPr>
          <w:sz w:val="24"/>
          <w:szCs w:val="24"/>
        </w:rPr>
        <w:t>, based on globular protein standards.</w:t>
      </w:r>
    </w:p>
    <w:p w:rsidR="00F763F8" w:rsidRDefault="00F763F8" w:rsidP="00F763F8">
      <w:pPr>
        <w:pStyle w:val="ListParagraph"/>
        <w:rPr>
          <w:sz w:val="24"/>
          <w:szCs w:val="24"/>
        </w:rPr>
      </w:pPr>
    </w:p>
    <w:p w:rsidR="00F763F8" w:rsidRDefault="00F763F8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63F8">
        <w:rPr>
          <w:sz w:val="24"/>
          <w:szCs w:val="24"/>
        </w:rPr>
        <w:t>The polydispersity index of this main peak is moderately high at 22.4%, indicating this single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peak may include contributions from multiple different species.</w:t>
      </w:r>
    </w:p>
    <w:p w:rsidR="00F763F8" w:rsidRPr="00F763F8" w:rsidRDefault="00F763F8" w:rsidP="00F763F8">
      <w:pPr>
        <w:pStyle w:val="ListParagraph"/>
        <w:rPr>
          <w:sz w:val="24"/>
          <w:szCs w:val="24"/>
        </w:rPr>
      </w:pPr>
    </w:p>
    <w:p w:rsidR="00F763F8" w:rsidRDefault="00F763F8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63F8">
        <w:rPr>
          <w:sz w:val="24"/>
          <w:szCs w:val="24"/>
        </w:rPr>
        <w:t>The first peak has a mean radius of 5.51 nm, which corresponds to an estimated molar mass of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180 kDa, and a moderately low polydispersity of 12.5%.</w:t>
      </w:r>
    </w:p>
    <w:p w:rsidR="00F763F8" w:rsidRPr="00F763F8" w:rsidRDefault="00F763F8" w:rsidP="00F763F8">
      <w:pPr>
        <w:pStyle w:val="ListParagraph"/>
        <w:rPr>
          <w:sz w:val="24"/>
          <w:szCs w:val="24"/>
        </w:rPr>
      </w:pPr>
    </w:p>
    <w:p w:rsidR="00F763F8" w:rsidRDefault="00F763F8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63F8">
        <w:rPr>
          <w:sz w:val="24"/>
          <w:szCs w:val="24"/>
        </w:rPr>
        <w:t>Although this peak represents only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18.6% of the dynamic scattering intensity, it is estimated to represent 22.4% of the total on a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weight basis.</w:t>
      </w:r>
    </w:p>
    <w:p w:rsidR="00F763F8" w:rsidRPr="00F763F8" w:rsidRDefault="00F763F8" w:rsidP="00F763F8">
      <w:pPr>
        <w:pStyle w:val="ListParagraph"/>
        <w:rPr>
          <w:sz w:val="24"/>
          <w:szCs w:val="24"/>
        </w:rPr>
      </w:pPr>
    </w:p>
    <w:p w:rsidR="00F763F8" w:rsidRDefault="00F763F8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63F8">
        <w:rPr>
          <w:sz w:val="24"/>
          <w:szCs w:val="24"/>
        </w:rPr>
        <w:t>In addition to the main peak two peaks at larger radii were detected, at mean radii of 444 nm and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27.7 μm.</w:t>
      </w:r>
    </w:p>
    <w:p w:rsidR="00F763F8" w:rsidRPr="00F763F8" w:rsidRDefault="00F763F8" w:rsidP="00F763F8">
      <w:pPr>
        <w:pStyle w:val="ListParagraph"/>
        <w:rPr>
          <w:sz w:val="24"/>
          <w:szCs w:val="24"/>
        </w:rPr>
      </w:pPr>
    </w:p>
    <w:p w:rsidR="00F763F8" w:rsidRDefault="00F763F8" w:rsidP="00F763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63F8">
        <w:rPr>
          <w:sz w:val="24"/>
          <w:szCs w:val="24"/>
        </w:rPr>
        <w:t>it is not possible to make meaningful fraction by weight estimates for species</w:t>
      </w:r>
      <w:r>
        <w:rPr>
          <w:sz w:val="24"/>
          <w:szCs w:val="24"/>
        </w:rPr>
        <w:t xml:space="preserve"> larger than ~1 </w:t>
      </w:r>
      <w:r w:rsidRPr="00F763F8">
        <w:rPr>
          <w:sz w:val="24"/>
          <w:szCs w:val="24"/>
        </w:rPr>
        <w:t>μm because (1) the scattering from particles significantly larger in diameter than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the wavelength of the incident light is very dependent on the detailed shape of the particle (due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to internal reflections), and (2) nearly all the scattered light is emitted in the forward direction,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with</w:t>
      </w:r>
      <w:r>
        <w:rPr>
          <w:sz w:val="24"/>
          <w:szCs w:val="24"/>
        </w:rPr>
        <w:t xml:space="preserve"> only a tiny fraction at the 90°</w:t>
      </w:r>
      <w:r w:rsidRPr="00F763F8">
        <w:rPr>
          <w:sz w:val="24"/>
          <w:szCs w:val="24"/>
        </w:rPr>
        <w:t xml:space="preserve"> angle observed here.</w:t>
      </w:r>
    </w:p>
    <w:p w:rsidR="00F763F8" w:rsidRDefault="00F763F8" w:rsidP="00F763F8">
      <w:pPr>
        <w:rPr>
          <w:sz w:val="24"/>
          <w:szCs w:val="24"/>
        </w:rPr>
      </w:pPr>
    </w:p>
    <w:p w:rsidR="00AC2165" w:rsidRDefault="00AC2165" w:rsidP="00F763F8">
      <w:pPr>
        <w:rPr>
          <w:sz w:val="24"/>
          <w:szCs w:val="24"/>
        </w:rPr>
      </w:pPr>
    </w:p>
    <w:p w:rsidR="00F763F8" w:rsidRDefault="00F763F8" w:rsidP="00F763F8">
      <w:pPr>
        <w:rPr>
          <w:b/>
          <w:sz w:val="24"/>
          <w:szCs w:val="24"/>
        </w:rPr>
      </w:pPr>
      <w:r w:rsidRPr="00F763F8">
        <w:rPr>
          <w:b/>
          <w:sz w:val="24"/>
          <w:szCs w:val="24"/>
          <w:u w:val="single"/>
        </w:rPr>
        <w:t>T-Sirt3</w:t>
      </w:r>
      <w:r w:rsidRPr="00F763F8">
        <w:rPr>
          <w:b/>
          <w:sz w:val="24"/>
          <w:szCs w:val="24"/>
        </w:rPr>
        <w:t>:</w:t>
      </w:r>
    </w:p>
    <w:p w:rsidR="00F763F8" w:rsidRDefault="00F763F8" w:rsidP="00F763F8">
      <w:pPr>
        <w:rPr>
          <w:b/>
          <w:sz w:val="24"/>
          <w:szCs w:val="24"/>
        </w:rPr>
      </w:pPr>
    </w:p>
    <w:p w:rsidR="00AC2165" w:rsidRDefault="00F763F8" w:rsidP="00AC21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63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scattering intensity for this sample</w:t>
      </w:r>
      <w:r w:rsidR="00AC2165">
        <w:rPr>
          <w:sz w:val="24"/>
          <w:szCs w:val="24"/>
        </w:rPr>
        <w:t xml:space="preserve"> (shown below)</w:t>
      </w:r>
      <w:r w:rsidRPr="00F763F8">
        <w:rPr>
          <w:sz w:val="24"/>
          <w:szCs w:val="24"/>
        </w:rPr>
        <w:t xml:space="preserve"> is dominated by the third peak, a broad peak at 122 nm</w:t>
      </w:r>
      <w:r>
        <w:rPr>
          <w:sz w:val="24"/>
          <w:szCs w:val="24"/>
        </w:rPr>
        <w:t xml:space="preserve"> </w:t>
      </w:r>
      <w:r w:rsidRPr="00F763F8">
        <w:rPr>
          <w:sz w:val="24"/>
          <w:szCs w:val="24"/>
        </w:rPr>
        <w:t>(97.7% of the total intensity).</w:t>
      </w:r>
    </w:p>
    <w:p w:rsidR="00AC2165" w:rsidRPr="00AC2165" w:rsidRDefault="00AC2165" w:rsidP="00AC2165">
      <w:pPr>
        <w:pStyle w:val="ListParagraph"/>
        <w:rPr>
          <w:sz w:val="24"/>
          <w:szCs w:val="24"/>
        </w:rPr>
      </w:pPr>
    </w:p>
    <w:p w:rsidR="00AC2165" w:rsidRDefault="00AC2165" w:rsidP="00AC21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C2165">
        <w:rPr>
          <w:sz w:val="24"/>
          <w:szCs w:val="24"/>
        </w:rPr>
        <w:t>Although the first peak at 3.75 nm (74 kDa estimated molar mass)</w:t>
      </w:r>
      <w:r>
        <w:rPr>
          <w:sz w:val="24"/>
          <w:szCs w:val="24"/>
        </w:rPr>
        <w:t xml:space="preserve"> </w:t>
      </w:r>
      <w:r w:rsidRPr="00AC2165">
        <w:rPr>
          <w:sz w:val="24"/>
          <w:szCs w:val="24"/>
        </w:rPr>
        <w:t>is only 0.6% of the total intensity (and thus only marginally above detection threshold), it is</w:t>
      </w:r>
      <w:r>
        <w:rPr>
          <w:sz w:val="24"/>
          <w:szCs w:val="24"/>
        </w:rPr>
        <w:t xml:space="preserve"> </w:t>
      </w:r>
      <w:r w:rsidRPr="00AC2165">
        <w:rPr>
          <w:sz w:val="24"/>
          <w:szCs w:val="24"/>
        </w:rPr>
        <w:t>estimated to represent 63.8% of the total on a weight basis.</w:t>
      </w:r>
    </w:p>
    <w:p w:rsidR="00AC2165" w:rsidRPr="00AC2165" w:rsidRDefault="00AC2165" w:rsidP="00AC2165">
      <w:pPr>
        <w:pStyle w:val="ListParagraph"/>
        <w:rPr>
          <w:sz w:val="24"/>
          <w:szCs w:val="24"/>
        </w:rPr>
      </w:pPr>
    </w:p>
    <w:p w:rsidR="00AC2165" w:rsidRDefault="00AC2165" w:rsidP="00AC21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C2165">
        <w:rPr>
          <w:sz w:val="24"/>
          <w:szCs w:val="24"/>
        </w:rPr>
        <w:t>A minor peak was also resolved at</w:t>
      </w:r>
      <w:r>
        <w:rPr>
          <w:sz w:val="24"/>
          <w:szCs w:val="24"/>
        </w:rPr>
        <w:t xml:space="preserve"> </w:t>
      </w:r>
      <w:r w:rsidRPr="00AC2165">
        <w:rPr>
          <w:sz w:val="24"/>
          <w:szCs w:val="24"/>
        </w:rPr>
        <w:t>14.3 nm (1.7% of intensity).</w:t>
      </w:r>
    </w:p>
    <w:p w:rsidR="00DB50D4" w:rsidRPr="00DB50D4" w:rsidRDefault="00DB50D4" w:rsidP="00DB50D4">
      <w:pPr>
        <w:pStyle w:val="ListParagraph"/>
        <w:rPr>
          <w:sz w:val="24"/>
          <w:szCs w:val="24"/>
        </w:rPr>
      </w:pPr>
    </w:p>
    <w:p w:rsidR="00F763F8" w:rsidRPr="003445E9" w:rsidRDefault="00DB50D4" w:rsidP="00F763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expected size for the monomeric Sirt3 (based on MW ~ 33 kDa) would be ~2.5 nm, but it was not observed.</w:t>
      </w:r>
    </w:p>
    <w:p w:rsidR="00F763F8" w:rsidRDefault="00F763F8" w:rsidP="00F763F8">
      <w:pPr>
        <w:rPr>
          <w:b/>
          <w:sz w:val="24"/>
          <w:szCs w:val="24"/>
        </w:rPr>
      </w:pPr>
      <w:r w:rsidRPr="00F763F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43600" cy="152309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  <w:r w:rsidRPr="00AC2165">
        <w:rPr>
          <w:b/>
          <w:noProof/>
          <w:sz w:val="24"/>
          <w:szCs w:val="24"/>
        </w:rPr>
        <w:drawing>
          <wp:inline distT="0" distB="0" distL="0" distR="0">
            <wp:extent cx="5943600" cy="363712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AC2165" w:rsidRDefault="00AC2165" w:rsidP="00F763F8">
      <w:pPr>
        <w:rPr>
          <w:b/>
          <w:sz w:val="24"/>
          <w:szCs w:val="24"/>
        </w:rPr>
      </w:pPr>
    </w:p>
    <w:p w:rsidR="00515B2C" w:rsidRDefault="002B4D49" w:rsidP="00515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Commentary on truncated Sirt3 vs full length Sirt3:</w:t>
      </w:r>
    </w:p>
    <w:p w:rsidR="00515B2C" w:rsidRDefault="00515B2C" w:rsidP="00515B2C">
      <w:pPr>
        <w:jc w:val="center"/>
        <w:rPr>
          <w:b/>
          <w:sz w:val="24"/>
          <w:szCs w:val="24"/>
        </w:rPr>
      </w:pPr>
    </w:p>
    <w:p w:rsidR="00E82276" w:rsidRDefault="00515B2C" w:rsidP="00515B2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82276">
        <w:rPr>
          <w:b/>
          <w:sz w:val="24"/>
          <w:szCs w:val="24"/>
        </w:rPr>
        <w:t>Crystal Structures of Human SIRT3 Displaying</w:t>
      </w:r>
      <w:r w:rsidRPr="00E82276">
        <w:rPr>
          <w:b/>
          <w:sz w:val="24"/>
          <w:szCs w:val="24"/>
        </w:rPr>
        <w:t xml:space="preserve"> </w:t>
      </w:r>
      <w:r w:rsidRPr="00E82276">
        <w:rPr>
          <w:b/>
          <w:sz w:val="24"/>
          <w:szCs w:val="24"/>
        </w:rPr>
        <w:t xml:space="preserve">Substrate-induced Conformational </w:t>
      </w:r>
      <w:proofErr w:type="spellStart"/>
      <w:r w:rsidRPr="00E82276">
        <w:rPr>
          <w:b/>
          <w:sz w:val="24"/>
          <w:szCs w:val="24"/>
        </w:rPr>
        <w:t>Changes</w:t>
      </w:r>
    </w:p>
    <w:p w:rsidR="00515B2C" w:rsidRPr="00E82276" w:rsidRDefault="00515B2C" w:rsidP="00E82276">
      <w:pPr>
        <w:pStyle w:val="ListParagraph"/>
        <w:rPr>
          <w:b/>
          <w:sz w:val="24"/>
          <w:szCs w:val="24"/>
        </w:rPr>
      </w:pPr>
      <w:r w:rsidRPr="00E82276">
        <w:rPr>
          <w:b/>
          <w:sz w:val="24"/>
          <w:szCs w:val="24"/>
        </w:rPr>
        <w:t>Jin</w:t>
      </w:r>
      <w:proofErr w:type="spellEnd"/>
      <w:r w:rsidRPr="00E82276">
        <w:rPr>
          <w:b/>
          <w:sz w:val="24"/>
          <w:szCs w:val="24"/>
        </w:rPr>
        <w:t xml:space="preserve"> et al., JBC 2009</w:t>
      </w:r>
    </w:p>
    <w:p w:rsidR="00515B2C" w:rsidRDefault="00515B2C" w:rsidP="00515B2C">
      <w:pPr>
        <w:pStyle w:val="ListParagraph"/>
        <w:rPr>
          <w:sz w:val="24"/>
          <w:szCs w:val="24"/>
        </w:rPr>
      </w:pPr>
    </w:p>
    <w:p w:rsidR="00515B2C" w:rsidRDefault="00515B2C" w:rsidP="00515B2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author’s mention that recombinant SIRT3 </w:t>
      </w:r>
      <w:r w:rsidRPr="00515B2C">
        <w:rPr>
          <w:sz w:val="24"/>
          <w:szCs w:val="24"/>
        </w:rPr>
        <w:t>(102–399) did</w:t>
      </w:r>
      <w:r>
        <w:rPr>
          <w:sz w:val="24"/>
          <w:szCs w:val="24"/>
        </w:rPr>
        <w:t xml:space="preserve"> </w:t>
      </w:r>
      <w:r w:rsidRPr="00515B2C">
        <w:rPr>
          <w:sz w:val="24"/>
          <w:szCs w:val="24"/>
        </w:rPr>
        <w:t>not crystallize readily. During the</w:t>
      </w:r>
      <w:r>
        <w:rPr>
          <w:sz w:val="24"/>
          <w:szCs w:val="24"/>
        </w:rPr>
        <w:t xml:space="preserve"> course of their studies, they</w:t>
      </w:r>
      <w:r w:rsidRPr="00515B2C">
        <w:rPr>
          <w:sz w:val="24"/>
          <w:szCs w:val="24"/>
        </w:rPr>
        <w:t xml:space="preserve"> designed several truncations of SIRT3.</w:t>
      </w:r>
      <w:r>
        <w:rPr>
          <w:sz w:val="24"/>
          <w:szCs w:val="24"/>
        </w:rPr>
        <w:t xml:space="preserve"> </w:t>
      </w:r>
      <w:r w:rsidRPr="00515B2C">
        <w:rPr>
          <w:sz w:val="24"/>
          <w:szCs w:val="24"/>
        </w:rPr>
        <w:t>SIRT3-(118–399) expressed abundant soluble protein in E. coli</w:t>
      </w:r>
      <w:r>
        <w:rPr>
          <w:sz w:val="24"/>
          <w:szCs w:val="24"/>
        </w:rPr>
        <w:t xml:space="preserve"> </w:t>
      </w:r>
      <w:r w:rsidRPr="00515B2C">
        <w:rPr>
          <w:sz w:val="24"/>
          <w:szCs w:val="24"/>
        </w:rPr>
        <w:t>and could be purified to high purity.</w:t>
      </w:r>
    </w:p>
    <w:p w:rsidR="00515B2C" w:rsidRPr="00515B2C" w:rsidRDefault="00515B2C" w:rsidP="00515B2C">
      <w:pPr>
        <w:pStyle w:val="ListParagraph"/>
        <w:rPr>
          <w:sz w:val="24"/>
          <w:szCs w:val="24"/>
        </w:rPr>
      </w:pPr>
    </w:p>
    <w:p w:rsidR="00515B2C" w:rsidRDefault="00D27044" w:rsidP="00D2704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In addition, SIRT3 </w:t>
      </w:r>
      <w:r w:rsidRPr="00D27044">
        <w:rPr>
          <w:sz w:val="24"/>
          <w:szCs w:val="24"/>
        </w:rPr>
        <w:t>(118–</w:t>
      </w:r>
      <w:r>
        <w:rPr>
          <w:sz w:val="24"/>
          <w:szCs w:val="24"/>
        </w:rPr>
        <w:t xml:space="preserve">399) and SIRT3 </w:t>
      </w:r>
      <w:r w:rsidRPr="00D27044">
        <w:rPr>
          <w:sz w:val="24"/>
          <w:szCs w:val="24"/>
        </w:rPr>
        <w:t>(102–399) had similar deacetylation activity</w:t>
      </w:r>
      <w:r>
        <w:rPr>
          <w:sz w:val="24"/>
          <w:szCs w:val="24"/>
        </w:rPr>
        <w:t xml:space="preserve"> </w:t>
      </w:r>
      <w:r w:rsidRPr="00D27044">
        <w:rPr>
          <w:sz w:val="24"/>
          <w:szCs w:val="24"/>
        </w:rPr>
        <w:t>and responded similarly to a panel of SIRT3 modulators</w:t>
      </w:r>
      <w:r>
        <w:rPr>
          <w:sz w:val="24"/>
          <w:szCs w:val="24"/>
        </w:rPr>
        <w:t xml:space="preserve"> (data not shown). Therefore, </w:t>
      </w:r>
      <w:r w:rsidRPr="00D27044">
        <w:rPr>
          <w:sz w:val="24"/>
          <w:szCs w:val="24"/>
        </w:rPr>
        <w:t>SIRT3-(118–399)</w:t>
      </w:r>
      <w:r>
        <w:rPr>
          <w:sz w:val="24"/>
          <w:szCs w:val="24"/>
        </w:rPr>
        <w:t xml:space="preserve"> was selected</w:t>
      </w:r>
      <w:r w:rsidRPr="00D27044">
        <w:rPr>
          <w:sz w:val="24"/>
          <w:szCs w:val="24"/>
        </w:rPr>
        <w:t xml:space="preserve"> for crystallization work.</w:t>
      </w:r>
    </w:p>
    <w:p w:rsidR="00D27044" w:rsidRPr="00D27044" w:rsidRDefault="00D27044" w:rsidP="00D27044">
      <w:pPr>
        <w:pStyle w:val="ListParagraph"/>
        <w:rPr>
          <w:sz w:val="24"/>
          <w:szCs w:val="24"/>
        </w:rPr>
      </w:pPr>
    </w:p>
    <w:p w:rsidR="00D27044" w:rsidRDefault="004C666B" w:rsidP="004C66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C666B">
        <w:rPr>
          <w:sz w:val="24"/>
          <w:szCs w:val="24"/>
        </w:rPr>
        <w:t>The two enzymes have similar Km values</w:t>
      </w:r>
      <w:r>
        <w:rPr>
          <w:sz w:val="24"/>
          <w:szCs w:val="24"/>
        </w:rPr>
        <w:t xml:space="preserve"> for the peptide substrate (33.0 uM for SIRT3 </w:t>
      </w:r>
      <w:r w:rsidRPr="004C666B">
        <w:rPr>
          <w:sz w:val="24"/>
          <w:szCs w:val="24"/>
        </w:rPr>
        <w:t>(102–399) and 28.7</w:t>
      </w:r>
      <w:r>
        <w:rPr>
          <w:sz w:val="24"/>
          <w:szCs w:val="24"/>
        </w:rPr>
        <w:t xml:space="preserve"> uM for SIRT3 </w:t>
      </w:r>
      <w:r w:rsidRPr="004C666B">
        <w:rPr>
          <w:sz w:val="24"/>
          <w:szCs w:val="24"/>
        </w:rPr>
        <w:t>(118–</w:t>
      </w:r>
      <w:r>
        <w:rPr>
          <w:sz w:val="24"/>
          <w:szCs w:val="24"/>
        </w:rPr>
        <w:t xml:space="preserve">399)) and for NAD (600 uM for SIRT3 (102–399) and 598 uM for SIRT3 </w:t>
      </w:r>
      <w:r w:rsidRPr="004C666B">
        <w:rPr>
          <w:sz w:val="24"/>
          <w:szCs w:val="24"/>
        </w:rPr>
        <w:t>(118–399)).</w:t>
      </w:r>
    </w:p>
    <w:p w:rsidR="00A74A6E" w:rsidRPr="00A74A6E" w:rsidRDefault="00A74A6E" w:rsidP="00A74A6E">
      <w:pPr>
        <w:pStyle w:val="ListParagraph"/>
        <w:rPr>
          <w:sz w:val="24"/>
          <w:szCs w:val="24"/>
        </w:rPr>
      </w:pPr>
    </w:p>
    <w:p w:rsidR="00A74A6E" w:rsidRDefault="00A74A6E" w:rsidP="00A74A6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A74A6E">
        <w:rPr>
          <w:sz w:val="24"/>
          <w:szCs w:val="24"/>
        </w:rPr>
        <w:t>hey also displayed very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>similar activity for their deacetylase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>function (0.0037 for SIRT3-(102–399) and 0.0033 for SIRT3-(118–</w:t>
      </w:r>
      <w:r>
        <w:rPr>
          <w:sz w:val="24"/>
          <w:szCs w:val="24"/>
        </w:rPr>
        <w:t xml:space="preserve">399) in the unit of percentage </w:t>
      </w:r>
      <w:r w:rsidRPr="00A74A6E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>conversion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>of acetylated peptide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 xml:space="preserve">substrate to </w:t>
      </w:r>
      <w:proofErr w:type="spellStart"/>
      <w:r w:rsidRPr="00A74A6E">
        <w:rPr>
          <w:sz w:val="24"/>
          <w:szCs w:val="24"/>
        </w:rPr>
        <w:t>deacetylated</w:t>
      </w:r>
      <w:proofErr w:type="spellEnd"/>
      <w:r w:rsidRPr="00A74A6E">
        <w:rPr>
          <w:sz w:val="24"/>
          <w:szCs w:val="24"/>
        </w:rPr>
        <w:t xml:space="preserve"> product</w:t>
      </w:r>
      <w:r>
        <w:rPr>
          <w:sz w:val="24"/>
          <w:szCs w:val="24"/>
        </w:rPr>
        <w:t xml:space="preserve"> </w:t>
      </w:r>
      <w:r w:rsidRPr="00A74A6E">
        <w:rPr>
          <w:sz w:val="24"/>
          <w:szCs w:val="24"/>
        </w:rPr>
        <w:t>over time and enzyme concentration</w:t>
      </w:r>
      <w:r>
        <w:rPr>
          <w:sz w:val="24"/>
          <w:szCs w:val="24"/>
        </w:rPr>
        <w:t>.</w:t>
      </w:r>
    </w:p>
    <w:p w:rsidR="00A74A6E" w:rsidRPr="00A74A6E" w:rsidRDefault="00A74A6E" w:rsidP="00A74A6E">
      <w:pPr>
        <w:pStyle w:val="ListParagraph"/>
        <w:rPr>
          <w:sz w:val="24"/>
          <w:szCs w:val="24"/>
        </w:rPr>
      </w:pPr>
    </w:p>
    <w:p w:rsidR="00A74A6E" w:rsidRDefault="00A74A6E" w:rsidP="00A74A6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4A6E">
        <w:rPr>
          <w:sz w:val="24"/>
          <w:szCs w:val="24"/>
        </w:rPr>
        <w:t>This is in disagreement with a</w:t>
      </w:r>
      <w:r>
        <w:rPr>
          <w:sz w:val="24"/>
          <w:szCs w:val="24"/>
        </w:rPr>
        <w:t xml:space="preserve"> recent report that SIRT3 </w:t>
      </w:r>
      <w:r w:rsidRPr="00A74A6E">
        <w:rPr>
          <w:sz w:val="24"/>
          <w:szCs w:val="24"/>
        </w:rPr>
        <w:t>(114–</w:t>
      </w:r>
      <w:r>
        <w:rPr>
          <w:sz w:val="24"/>
          <w:szCs w:val="24"/>
        </w:rPr>
        <w:t>399) has a ~</w:t>
      </w:r>
      <w:r w:rsidRPr="00A74A6E">
        <w:rPr>
          <w:sz w:val="24"/>
          <w:szCs w:val="24"/>
        </w:rPr>
        <w:t>50-fold-higher specific</w:t>
      </w:r>
      <w:r>
        <w:rPr>
          <w:sz w:val="24"/>
          <w:szCs w:val="24"/>
        </w:rPr>
        <w:t xml:space="preserve"> activity than SIRT3 </w:t>
      </w:r>
      <w:r w:rsidRPr="00A74A6E">
        <w:rPr>
          <w:sz w:val="24"/>
          <w:szCs w:val="24"/>
        </w:rPr>
        <w:t>(102–399)</w:t>
      </w:r>
      <w:r>
        <w:rPr>
          <w:sz w:val="24"/>
          <w:szCs w:val="24"/>
        </w:rPr>
        <w:t>.</w:t>
      </w:r>
    </w:p>
    <w:p w:rsidR="00A74A6E" w:rsidRPr="00A74A6E" w:rsidRDefault="00A74A6E" w:rsidP="00A74A6E">
      <w:pPr>
        <w:pStyle w:val="ListParagraph"/>
        <w:rPr>
          <w:sz w:val="24"/>
          <w:szCs w:val="24"/>
        </w:rPr>
      </w:pPr>
    </w:p>
    <w:p w:rsidR="00A74A6E" w:rsidRDefault="00A74A6E" w:rsidP="00A74A6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4A6E">
        <w:rPr>
          <w:sz w:val="24"/>
          <w:szCs w:val="24"/>
        </w:rPr>
        <w:t>The cause of the discrepancy</w:t>
      </w:r>
      <w:r>
        <w:rPr>
          <w:sz w:val="24"/>
          <w:szCs w:val="24"/>
        </w:rPr>
        <w:t xml:space="preserve"> of activity between SIRT3 (118 –399) and the </w:t>
      </w:r>
      <w:r w:rsidRPr="00A74A6E">
        <w:rPr>
          <w:sz w:val="24"/>
          <w:szCs w:val="24"/>
        </w:rPr>
        <w:t>published</w:t>
      </w:r>
      <w:r>
        <w:rPr>
          <w:sz w:val="24"/>
          <w:szCs w:val="24"/>
        </w:rPr>
        <w:t xml:space="preserve"> SIRT3 </w:t>
      </w:r>
      <w:r w:rsidRPr="00A74A6E">
        <w:rPr>
          <w:sz w:val="24"/>
          <w:szCs w:val="24"/>
        </w:rPr>
        <w:t>(114 –399) is not clear.</w:t>
      </w:r>
    </w:p>
    <w:p w:rsidR="00E82276" w:rsidRPr="00E82276" w:rsidRDefault="00E82276" w:rsidP="00E82276">
      <w:pPr>
        <w:pStyle w:val="ListParagraph"/>
        <w:rPr>
          <w:sz w:val="24"/>
          <w:szCs w:val="24"/>
        </w:rPr>
      </w:pPr>
    </w:p>
    <w:p w:rsidR="00E82276" w:rsidRDefault="00E82276" w:rsidP="00E82276">
      <w:pPr>
        <w:pStyle w:val="ListParagraph"/>
        <w:rPr>
          <w:sz w:val="24"/>
          <w:szCs w:val="24"/>
        </w:rPr>
      </w:pPr>
      <w:r w:rsidRPr="00E82276">
        <w:rPr>
          <w:noProof/>
          <w:sz w:val="24"/>
          <w:szCs w:val="24"/>
        </w:rPr>
        <w:lastRenderedPageBreak/>
        <w:drawing>
          <wp:inline distT="0" distB="0" distL="0" distR="0">
            <wp:extent cx="5497897" cy="423608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45" cy="42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76" w:rsidRDefault="00E82276" w:rsidP="00E82276">
      <w:pPr>
        <w:pStyle w:val="ListParagraph"/>
        <w:rPr>
          <w:sz w:val="24"/>
          <w:szCs w:val="24"/>
        </w:rPr>
      </w:pPr>
    </w:p>
    <w:p w:rsidR="00E82276" w:rsidRDefault="00E82276" w:rsidP="00E82276">
      <w:pPr>
        <w:pStyle w:val="ListParagraph"/>
        <w:rPr>
          <w:sz w:val="24"/>
          <w:szCs w:val="24"/>
        </w:rPr>
      </w:pPr>
    </w:p>
    <w:p w:rsidR="00E82276" w:rsidRPr="00E82276" w:rsidRDefault="00E82276" w:rsidP="00E82276">
      <w:pPr>
        <w:rPr>
          <w:b/>
          <w:sz w:val="24"/>
          <w:szCs w:val="24"/>
        </w:rPr>
      </w:pPr>
    </w:p>
    <w:p w:rsidR="00E82276" w:rsidRDefault="00E82276" w:rsidP="00E8227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82276">
        <w:rPr>
          <w:b/>
          <w:sz w:val="24"/>
          <w:szCs w:val="24"/>
        </w:rPr>
        <w:t>Substrates and Regulation Mechanisms for the Human Mitochondrial Sirtuins Sirt3 and Sirt5</w:t>
      </w:r>
    </w:p>
    <w:p w:rsidR="00E82276" w:rsidRDefault="00E82276" w:rsidP="00E82276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Steegborn</w:t>
      </w:r>
      <w:proofErr w:type="spellEnd"/>
      <w:r>
        <w:rPr>
          <w:b/>
          <w:sz w:val="24"/>
          <w:szCs w:val="24"/>
        </w:rPr>
        <w:t>, JMB 2008</w:t>
      </w:r>
    </w:p>
    <w:p w:rsidR="00E82276" w:rsidRPr="00AC7B99" w:rsidRDefault="00E82276" w:rsidP="00E82276">
      <w:pPr>
        <w:rPr>
          <w:sz w:val="24"/>
          <w:szCs w:val="24"/>
        </w:rPr>
      </w:pPr>
    </w:p>
    <w:p w:rsidR="00AC7B99" w:rsidRDefault="00AC7B99" w:rsidP="00AC7B9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7B99">
        <w:rPr>
          <w:sz w:val="24"/>
          <w:szCs w:val="24"/>
        </w:rPr>
        <w:t>Another mechanism for the regulation</w:t>
      </w:r>
      <w:r>
        <w:rPr>
          <w:sz w:val="24"/>
          <w:szCs w:val="24"/>
        </w:rPr>
        <w:t xml:space="preserve"> </w:t>
      </w:r>
      <w:r w:rsidRPr="00AC7B99">
        <w:rPr>
          <w:sz w:val="24"/>
          <w:szCs w:val="24"/>
        </w:rPr>
        <w:t>of Sirt3 activity appears to be proteolytic processing:</w:t>
      </w:r>
      <w:r>
        <w:rPr>
          <w:sz w:val="24"/>
          <w:szCs w:val="24"/>
        </w:rPr>
        <w:t xml:space="preserve"> </w:t>
      </w:r>
      <w:r w:rsidRPr="00AC7B99">
        <w:rPr>
          <w:sz w:val="24"/>
          <w:szCs w:val="24"/>
        </w:rPr>
        <w:t>Removal of the N-terminal signaling sequence</w:t>
      </w:r>
      <w:r>
        <w:rPr>
          <w:sz w:val="24"/>
          <w:szCs w:val="24"/>
        </w:rPr>
        <w:t xml:space="preserve"> </w:t>
      </w:r>
      <w:r w:rsidRPr="00AC7B99">
        <w:rPr>
          <w:sz w:val="24"/>
          <w:szCs w:val="24"/>
        </w:rPr>
        <w:t>through proteolytic cleavage at position 101 occurs</w:t>
      </w:r>
      <w:r>
        <w:rPr>
          <w:sz w:val="24"/>
          <w:szCs w:val="24"/>
        </w:rPr>
        <w:t xml:space="preserve"> </w:t>
      </w:r>
      <w:r w:rsidRPr="00AC7B99">
        <w:rPr>
          <w:sz w:val="24"/>
          <w:szCs w:val="24"/>
        </w:rPr>
        <w:t>during translocation into the matrix and activates</w:t>
      </w:r>
      <w:r>
        <w:rPr>
          <w:sz w:val="24"/>
          <w:szCs w:val="24"/>
        </w:rPr>
        <w:t xml:space="preserve"> </w:t>
      </w:r>
      <w:r w:rsidRPr="00AC7B99">
        <w:rPr>
          <w:sz w:val="24"/>
          <w:szCs w:val="24"/>
        </w:rPr>
        <w:t xml:space="preserve">the </w:t>
      </w:r>
      <w:r>
        <w:rPr>
          <w:sz w:val="24"/>
          <w:szCs w:val="24"/>
        </w:rPr>
        <w:t>inactive full-length precursor.</w:t>
      </w:r>
    </w:p>
    <w:p w:rsidR="00AC7B99" w:rsidRPr="00AC7B99" w:rsidRDefault="00AC7B99" w:rsidP="00AC7B99">
      <w:pPr>
        <w:pStyle w:val="ListParagraph"/>
        <w:rPr>
          <w:sz w:val="24"/>
          <w:szCs w:val="24"/>
        </w:rPr>
      </w:pPr>
    </w:p>
    <w:p w:rsidR="00AC7B99" w:rsidRDefault="00400803" w:rsidP="0040080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0803">
        <w:rPr>
          <w:sz w:val="24"/>
          <w:szCs w:val="24"/>
        </w:rPr>
        <w:t>A second cleavage</w:t>
      </w:r>
      <w:r>
        <w:rPr>
          <w:sz w:val="24"/>
          <w:szCs w:val="24"/>
        </w:rPr>
        <w:t xml:space="preserve"> </w:t>
      </w:r>
      <w:r w:rsidR="00CF7DE1">
        <w:rPr>
          <w:sz w:val="24"/>
          <w:szCs w:val="24"/>
        </w:rPr>
        <w:t xml:space="preserve">might occur at position 110 and the influence of </w:t>
      </w:r>
      <w:r w:rsidRPr="00400803">
        <w:rPr>
          <w:sz w:val="24"/>
          <w:szCs w:val="24"/>
        </w:rPr>
        <w:t>furthe</w:t>
      </w:r>
      <w:r w:rsidR="00CF7DE1">
        <w:rPr>
          <w:sz w:val="24"/>
          <w:szCs w:val="24"/>
        </w:rPr>
        <w:t xml:space="preserve">r truncations of Sirt3 to </w:t>
      </w:r>
      <w:r w:rsidRPr="00400803">
        <w:rPr>
          <w:sz w:val="24"/>
          <w:szCs w:val="24"/>
        </w:rPr>
        <w:t>its acti</w:t>
      </w:r>
      <w:r w:rsidR="00CF7DE1">
        <w:rPr>
          <w:sz w:val="24"/>
          <w:szCs w:val="24"/>
        </w:rPr>
        <w:t>vity in the peptide-based assay, was tested.</w:t>
      </w:r>
    </w:p>
    <w:p w:rsidR="00CF7DE1" w:rsidRPr="00CF7DE1" w:rsidRDefault="00CF7DE1" w:rsidP="00CF7DE1">
      <w:pPr>
        <w:pStyle w:val="ListParagraph"/>
        <w:rPr>
          <w:sz w:val="24"/>
          <w:szCs w:val="24"/>
        </w:rPr>
      </w:pPr>
    </w:p>
    <w:p w:rsidR="00015332" w:rsidRPr="00015332" w:rsidRDefault="00015332" w:rsidP="0001533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t>Indeed, an N</w:t>
      </w:r>
      <w:r>
        <w:t>-</w:t>
      </w:r>
      <w:r>
        <w:t xml:space="preserve">terminally shortened construct (residues 114–399) displayed a </w:t>
      </w:r>
      <w:r>
        <w:rPr>
          <w:rFonts w:ascii="Cambria Math" w:hAnsi="Cambria Math" w:cs="Cambria Math"/>
        </w:rPr>
        <w:t>∼</w:t>
      </w:r>
      <w:r>
        <w:t>50-fold-higher specific activity than residues 102–399 in the peptide-based deacetylation assay</w:t>
      </w:r>
      <w:r>
        <w:t>.</w:t>
      </w:r>
    </w:p>
    <w:p w:rsidR="00015332" w:rsidRDefault="00015332" w:rsidP="0001533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Removing the</w:t>
      </w:r>
      <w:r w:rsidRPr="00015332">
        <w:rPr>
          <w:sz w:val="24"/>
          <w:szCs w:val="24"/>
        </w:rPr>
        <w:t xml:space="preserve"> C-terminal part of Sirt3</w:t>
      </w:r>
      <w:r>
        <w:rPr>
          <w:sz w:val="24"/>
          <w:szCs w:val="24"/>
        </w:rPr>
        <w:t xml:space="preserve"> </w:t>
      </w:r>
      <w:r w:rsidRPr="00015332">
        <w:rPr>
          <w:sz w:val="24"/>
          <w:szCs w:val="24"/>
        </w:rPr>
        <w:t>resulted in a protein (residues 114–380) with further</w:t>
      </w:r>
      <w:r>
        <w:rPr>
          <w:sz w:val="24"/>
          <w:szCs w:val="24"/>
        </w:rPr>
        <w:t xml:space="preserve"> </w:t>
      </w:r>
      <w:r w:rsidRPr="00015332">
        <w:rPr>
          <w:sz w:val="24"/>
          <w:szCs w:val="24"/>
        </w:rPr>
        <w:t>increased specific activity in the peptide assay, but</w:t>
      </w:r>
      <w:r>
        <w:rPr>
          <w:sz w:val="24"/>
          <w:szCs w:val="24"/>
        </w:rPr>
        <w:t xml:space="preserve"> </w:t>
      </w:r>
      <w:r w:rsidRPr="00015332">
        <w:rPr>
          <w:sz w:val="24"/>
          <w:szCs w:val="24"/>
        </w:rPr>
        <w:t xml:space="preserve">only </w:t>
      </w:r>
      <w:r w:rsidRPr="00015332">
        <w:rPr>
          <w:rFonts w:ascii="Cambria Math" w:hAnsi="Cambria Math" w:cs="Cambria Math"/>
          <w:sz w:val="24"/>
          <w:szCs w:val="24"/>
        </w:rPr>
        <w:t>∼</w:t>
      </w:r>
      <w:r w:rsidRPr="00015332">
        <w:rPr>
          <w:sz w:val="24"/>
          <w:szCs w:val="24"/>
        </w:rPr>
        <w:t>2-fold compared to Sirt3</w:t>
      </w:r>
      <w:r>
        <w:rPr>
          <w:sz w:val="24"/>
          <w:szCs w:val="24"/>
        </w:rPr>
        <w:t xml:space="preserve"> </w:t>
      </w:r>
      <w:r w:rsidRPr="00015332">
        <w:rPr>
          <w:sz w:val="24"/>
          <w:szCs w:val="24"/>
        </w:rPr>
        <w:t>(114</w:t>
      </w:r>
      <w:r w:rsidRPr="00015332">
        <w:rPr>
          <w:rFonts w:ascii="Calibri" w:hAnsi="Calibri" w:cs="Calibri"/>
          <w:sz w:val="24"/>
          <w:szCs w:val="24"/>
        </w:rPr>
        <w:t>–</w:t>
      </w:r>
      <w:r w:rsidRPr="00015332">
        <w:rPr>
          <w:sz w:val="24"/>
          <w:szCs w:val="24"/>
        </w:rPr>
        <w:t>399) and thus</w:t>
      </w:r>
      <w:r>
        <w:rPr>
          <w:sz w:val="24"/>
          <w:szCs w:val="24"/>
        </w:rPr>
        <w:t xml:space="preserve"> </w:t>
      </w:r>
      <w:r w:rsidRPr="00015332">
        <w:rPr>
          <w:rFonts w:ascii="Cambria Math" w:hAnsi="Cambria Math" w:cs="Cambria Math"/>
          <w:sz w:val="24"/>
          <w:szCs w:val="24"/>
        </w:rPr>
        <w:t>∼</w:t>
      </w:r>
      <w:r w:rsidRPr="00015332">
        <w:rPr>
          <w:sz w:val="24"/>
          <w:szCs w:val="24"/>
        </w:rPr>
        <w:t>100-fold compared to Sirt3</w:t>
      </w:r>
      <w:r>
        <w:rPr>
          <w:sz w:val="24"/>
          <w:szCs w:val="24"/>
        </w:rPr>
        <w:t xml:space="preserve"> </w:t>
      </w:r>
      <w:r w:rsidRPr="00015332">
        <w:rPr>
          <w:sz w:val="24"/>
          <w:szCs w:val="24"/>
        </w:rPr>
        <w:t>(102</w:t>
      </w:r>
      <w:r w:rsidRPr="00015332">
        <w:rPr>
          <w:rFonts w:ascii="Calibri" w:hAnsi="Calibri" w:cs="Calibri"/>
          <w:sz w:val="24"/>
          <w:szCs w:val="24"/>
        </w:rPr>
        <w:t>–</w:t>
      </w:r>
      <w:r w:rsidRPr="00015332">
        <w:rPr>
          <w:sz w:val="24"/>
          <w:szCs w:val="24"/>
        </w:rPr>
        <w:t>399)</w:t>
      </w:r>
      <w:r>
        <w:rPr>
          <w:sz w:val="24"/>
          <w:szCs w:val="24"/>
        </w:rPr>
        <w:t>.</w:t>
      </w:r>
    </w:p>
    <w:p w:rsidR="00015332" w:rsidRPr="00015332" w:rsidRDefault="00015332" w:rsidP="00015332">
      <w:pPr>
        <w:pStyle w:val="ListParagraph"/>
        <w:rPr>
          <w:sz w:val="24"/>
          <w:szCs w:val="24"/>
        </w:rPr>
      </w:pPr>
    </w:p>
    <w:p w:rsidR="00015332" w:rsidRDefault="00015332" w:rsidP="00017F37">
      <w:pPr>
        <w:pStyle w:val="ListParagraph"/>
        <w:rPr>
          <w:sz w:val="24"/>
          <w:szCs w:val="24"/>
        </w:rPr>
      </w:pPr>
    </w:p>
    <w:p w:rsidR="00017F37" w:rsidRPr="00015332" w:rsidRDefault="00017F37" w:rsidP="00017F37">
      <w:pPr>
        <w:pStyle w:val="ListParagraph"/>
        <w:rPr>
          <w:sz w:val="24"/>
          <w:szCs w:val="24"/>
        </w:rPr>
      </w:pPr>
      <w:r w:rsidRPr="00017F37">
        <w:rPr>
          <w:noProof/>
          <w:sz w:val="24"/>
          <w:szCs w:val="24"/>
        </w:rPr>
        <w:drawing>
          <wp:inline distT="0" distB="0" distL="0" distR="0">
            <wp:extent cx="2847975" cy="395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276" w:rsidRDefault="00E82276" w:rsidP="00E82276">
      <w:pPr>
        <w:pStyle w:val="ListParagraph"/>
        <w:rPr>
          <w:b/>
          <w:sz w:val="24"/>
          <w:szCs w:val="24"/>
        </w:rPr>
      </w:pPr>
    </w:p>
    <w:p w:rsidR="00E82276" w:rsidRPr="00E82276" w:rsidRDefault="00E82276" w:rsidP="00E82276">
      <w:pPr>
        <w:pStyle w:val="ListParagraph"/>
        <w:rPr>
          <w:b/>
          <w:sz w:val="24"/>
          <w:szCs w:val="24"/>
        </w:rPr>
      </w:pPr>
    </w:p>
    <w:sectPr w:rsidR="00E82276" w:rsidRPr="00E8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9A9"/>
    <w:multiLevelType w:val="hybridMultilevel"/>
    <w:tmpl w:val="DD4E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3D7"/>
    <w:multiLevelType w:val="hybridMultilevel"/>
    <w:tmpl w:val="4A7E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68FE"/>
    <w:multiLevelType w:val="hybridMultilevel"/>
    <w:tmpl w:val="CB8062DA"/>
    <w:lvl w:ilvl="0" w:tplc="E9A893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2BD8"/>
    <w:multiLevelType w:val="hybridMultilevel"/>
    <w:tmpl w:val="78D8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6973"/>
    <w:multiLevelType w:val="hybridMultilevel"/>
    <w:tmpl w:val="60C61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C0B17"/>
    <w:multiLevelType w:val="hybridMultilevel"/>
    <w:tmpl w:val="5DC6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C4047"/>
    <w:multiLevelType w:val="hybridMultilevel"/>
    <w:tmpl w:val="5912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47CE"/>
    <w:multiLevelType w:val="hybridMultilevel"/>
    <w:tmpl w:val="1D9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21800"/>
    <w:multiLevelType w:val="hybridMultilevel"/>
    <w:tmpl w:val="03868C38"/>
    <w:lvl w:ilvl="0" w:tplc="C186B9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0794"/>
    <w:multiLevelType w:val="hybridMultilevel"/>
    <w:tmpl w:val="D990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B66CD"/>
    <w:multiLevelType w:val="hybridMultilevel"/>
    <w:tmpl w:val="37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36D9D"/>
    <w:multiLevelType w:val="hybridMultilevel"/>
    <w:tmpl w:val="FEF0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089D"/>
    <w:multiLevelType w:val="hybridMultilevel"/>
    <w:tmpl w:val="0E38E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35"/>
    <w:rsid w:val="00015332"/>
    <w:rsid w:val="00017F37"/>
    <w:rsid w:val="002B1C35"/>
    <w:rsid w:val="002B4D49"/>
    <w:rsid w:val="003445E9"/>
    <w:rsid w:val="00400803"/>
    <w:rsid w:val="00415A46"/>
    <w:rsid w:val="004872B5"/>
    <w:rsid w:val="004C666B"/>
    <w:rsid w:val="004F6BB5"/>
    <w:rsid w:val="00515B2C"/>
    <w:rsid w:val="00A74A6E"/>
    <w:rsid w:val="00AC2165"/>
    <w:rsid w:val="00AC7B99"/>
    <w:rsid w:val="00CF7DE1"/>
    <w:rsid w:val="00D27044"/>
    <w:rsid w:val="00DB50D4"/>
    <w:rsid w:val="00E82276"/>
    <w:rsid w:val="00F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B06A-5C4E-4262-BD98-7FB7879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11</cp:revision>
  <dcterms:created xsi:type="dcterms:W3CDTF">2017-02-17T17:37:00Z</dcterms:created>
  <dcterms:modified xsi:type="dcterms:W3CDTF">2017-02-17T21:11:00Z</dcterms:modified>
</cp:coreProperties>
</file>