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558" w:rsidRDefault="006F4D6D" w:rsidP="006F4D6D">
      <w:pPr>
        <w:jc w:val="center"/>
        <w:rPr>
          <w:sz w:val="24"/>
          <w:szCs w:val="24"/>
          <w:u w:val="single"/>
        </w:rPr>
      </w:pPr>
      <w:r w:rsidRPr="006F4D6D">
        <w:rPr>
          <w:sz w:val="24"/>
          <w:szCs w:val="24"/>
          <w:u w:val="single"/>
        </w:rPr>
        <w:t>Comparison between Beckman System Gold HPLC and Agilent 1100/1260</w:t>
      </w:r>
    </w:p>
    <w:p w:rsidR="006F4D6D" w:rsidRDefault="006F4D6D" w:rsidP="006F4D6D">
      <w:pPr>
        <w:jc w:val="center"/>
        <w:rPr>
          <w:sz w:val="24"/>
          <w:szCs w:val="24"/>
          <w:u w:val="single"/>
        </w:rPr>
      </w:pPr>
    </w:p>
    <w:p w:rsidR="006F4D6D" w:rsidRPr="003B7349" w:rsidRDefault="006F4D6D" w:rsidP="006F4D6D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Beckman has a Model 166 UV-vis detector with a </w:t>
      </w:r>
      <w:r w:rsidRPr="006F4D6D">
        <w:rPr>
          <w:sz w:val="24"/>
          <w:szCs w:val="24"/>
        </w:rPr>
        <w:t>dual photodiode sensor</w:t>
      </w:r>
      <w:r>
        <w:rPr>
          <w:sz w:val="24"/>
          <w:szCs w:val="24"/>
        </w:rPr>
        <w:t>, whereas both Agilent models have a photo-diode array detector.</w:t>
      </w:r>
    </w:p>
    <w:p w:rsidR="003B7349" w:rsidRPr="003B7349" w:rsidRDefault="003B7349" w:rsidP="003B7349">
      <w:pPr>
        <w:pStyle w:val="ListParagraph"/>
        <w:rPr>
          <w:sz w:val="24"/>
          <w:szCs w:val="24"/>
          <w:u w:val="single"/>
        </w:rPr>
      </w:pPr>
    </w:p>
    <w:p w:rsidR="003B7349" w:rsidRPr="003B7349" w:rsidRDefault="00F426B3" w:rsidP="003B734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Components of the Beckman solvent delivery system are in-built, whereas the Agilent systems have modular components.</w:t>
      </w:r>
    </w:p>
    <w:p w:rsidR="003B7349" w:rsidRPr="003B7349" w:rsidRDefault="003B7349" w:rsidP="003B7349">
      <w:pPr>
        <w:pStyle w:val="ListParagraph"/>
        <w:rPr>
          <w:sz w:val="24"/>
          <w:szCs w:val="24"/>
          <w:u w:val="single"/>
        </w:rPr>
      </w:pPr>
    </w:p>
    <w:p w:rsidR="003B7349" w:rsidRPr="003B7349" w:rsidRDefault="003B7349" w:rsidP="003B734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The Beckman lacks some essential features such as integrated degassing unit, thermostatted column compartment and heat exchangers that are present in the Agilent systems.</w:t>
      </w:r>
    </w:p>
    <w:p w:rsidR="003B7349" w:rsidRPr="003B7349" w:rsidRDefault="003B7349" w:rsidP="003B7349">
      <w:pPr>
        <w:pStyle w:val="ListParagraph"/>
        <w:rPr>
          <w:sz w:val="24"/>
          <w:szCs w:val="24"/>
          <w:u w:val="single"/>
        </w:rPr>
      </w:pPr>
    </w:p>
    <w:p w:rsidR="003B7349" w:rsidRPr="003B7349" w:rsidRDefault="006B0C61" w:rsidP="003B734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The 32-Karat software used with the Beckman system has limited data acquisition and analysis capabilities, whereas the </w:t>
      </w:r>
      <w:proofErr w:type="spellStart"/>
      <w:r>
        <w:rPr>
          <w:sz w:val="24"/>
          <w:szCs w:val="24"/>
        </w:rPr>
        <w:t>Chemstation</w:t>
      </w:r>
      <w:proofErr w:type="spellEnd"/>
      <w:r>
        <w:rPr>
          <w:sz w:val="24"/>
          <w:szCs w:val="24"/>
        </w:rPr>
        <w:t xml:space="preserve"> software used with the Agilent systems have advanced data acquisition and analysis features.</w:t>
      </w:r>
      <w:bookmarkStart w:id="0" w:name="_GoBack"/>
      <w:bookmarkEnd w:id="0"/>
    </w:p>
    <w:sectPr w:rsidR="003B7349" w:rsidRPr="003B7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30CD5"/>
    <w:multiLevelType w:val="hybridMultilevel"/>
    <w:tmpl w:val="41106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6D"/>
    <w:rsid w:val="00341558"/>
    <w:rsid w:val="003B7349"/>
    <w:rsid w:val="006B0C61"/>
    <w:rsid w:val="006F4D6D"/>
    <w:rsid w:val="00B671F0"/>
    <w:rsid w:val="00F4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D28DB-3AEA-477F-B1E6-E7E36F18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Sudipto Munshi</dc:creator>
  <cp:keywords/>
  <dc:description/>
  <cp:lastModifiedBy>Sudipto Munshi</cp:lastModifiedBy>
  <cp:revision>5</cp:revision>
  <dcterms:created xsi:type="dcterms:W3CDTF">2016-03-28T16:36:00Z</dcterms:created>
  <dcterms:modified xsi:type="dcterms:W3CDTF">2016-03-28T17:04:00Z</dcterms:modified>
</cp:coreProperties>
</file>