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44" w:rsidRDefault="008A45B7">
      <w:r>
        <w:t>Inhibition mechanism of known</w:t>
      </w:r>
      <w:r w:rsidR="00B00E8D">
        <w:t xml:space="preserve"> </w:t>
      </w:r>
      <w:proofErr w:type="spellStart"/>
      <w:proofErr w:type="gramStart"/>
      <w:r w:rsidR="00B00E8D">
        <w:t>sirtuin</w:t>
      </w:r>
      <w:proofErr w:type="spellEnd"/>
      <w:r w:rsidR="00B00E8D">
        <w:t xml:space="preserve"> </w:t>
      </w:r>
      <w:r>
        <w:t xml:space="preserve"> inhibitors</w:t>
      </w:r>
      <w:proofErr w:type="gramEnd"/>
      <w:r>
        <w:t>:</w:t>
      </w:r>
    </w:p>
    <w:p w:rsidR="008A45B7" w:rsidRDefault="006D7DE0">
      <w:r>
        <w:t>Currently, inhibition mechanism is studied mainly through crystallographic approach and/or kinetic method. The following summarize inhibitors based on their inhibition mechanisms.</w:t>
      </w:r>
    </w:p>
    <w:p w:rsidR="006D7DE0" w:rsidRDefault="006D7DE0" w:rsidP="006D7DE0">
      <w:pPr>
        <w:pStyle w:val="ListParagraph"/>
        <w:numPr>
          <w:ilvl w:val="0"/>
          <w:numId w:val="1"/>
        </w:numPr>
      </w:pPr>
      <w:r>
        <w:t xml:space="preserve">Inhibition by competing with </w:t>
      </w:r>
      <w:r>
        <w:t>(displacing)</w:t>
      </w:r>
      <w:r>
        <w:t xml:space="preserve"> NAD+:</w:t>
      </w:r>
    </w:p>
    <w:p w:rsidR="006D7DE0" w:rsidRDefault="007D7DFC" w:rsidP="006D7DE0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B81C70" wp14:editId="1827B07C">
            <wp:simplePos x="0" y="0"/>
            <wp:positionH relativeFrom="column">
              <wp:posOffset>114300</wp:posOffset>
            </wp:positionH>
            <wp:positionV relativeFrom="paragraph">
              <wp:posOffset>400050</wp:posOffset>
            </wp:positionV>
            <wp:extent cx="5943600" cy="13785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Carbamido</w:t>
      </w:r>
      <w:proofErr w:type="spellEnd"/>
      <w:r>
        <w:t xml:space="preserve">-NAD works this way. [1] And </w:t>
      </w:r>
      <w:proofErr w:type="spellStart"/>
      <w:r>
        <w:t>Carbo</w:t>
      </w:r>
      <w:proofErr w:type="spellEnd"/>
      <w:r>
        <w:t>-NAD is found to co-crystalize with peptide substrate and SIRT3 (4FVT).</w:t>
      </w:r>
    </w:p>
    <w:p w:rsidR="007D7DFC" w:rsidRDefault="007D7DFC" w:rsidP="006D7DE0">
      <w:pPr>
        <w:pStyle w:val="ListParagraph"/>
      </w:pPr>
    </w:p>
    <w:p w:rsidR="007D7DFC" w:rsidRDefault="007D7DFC" w:rsidP="006D7DE0">
      <w:pPr>
        <w:pStyle w:val="ListParagraph"/>
      </w:pPr>
    </w:p>
    <w:p w:rsidR="007D7DFC" w:rsidRDefault="007D7DFC" w:rsidP="006D7DE0">
      <w:pPr>
        <w:pStyle w:val="ListParagraph"/>
      </w:pPr>
    </w:p>
    <w:p w:rsidR="007D7DFC" w:rsidRDefault="007D7DFC" w:rsidP="006D7DE0">
      <w:pPr>
        <w:pStyle w:val="ListParagraph"/>
      </w:pPr>
    </w:p>
    <w:p w:rsidR="007D7DFC" w:rsidRDefault="007D7DFC" w:rsidP="006D7DE0">
      <w:pPr>
        <w:pStyle w:val="ListParagraph"/>
      </w:pPr>
    </w:p>
    <w:p w:rsidR="007D7DFC" w:rsidRDefault="007D7DFC" w:rsidP="006D7DE0">
      <w:pPr>
        <w:pStyle w:val="ListParagraph"/>
      </w:pPr>
    </w:p>
    <w:p w:rsidR="007D7DFC" w:rsidRDefault="007D7DFC" w:rsidP="006D7DE0">
      <w:pPr>
        <w:pStyle w:val="ListParagraph"/>
      </w:pPr>
    </w:p>
    <w:p w:rsidR="007D7DFC" w:rsidRDefault="007D7DFC" w:rsidP="006D7DE0">
      <w:pPr>
        <w:pStyle w:val="ListParagraph"/>
      </w:pPr>
    </w:p>
    <w:p w:rsidR="007D7DFC" w:rsidRDefault="007D7DFC" w:rsidP="006D7DE0">
      <w:pPr>
        <w:pStyle w:val="ListParagraph"/>
      </w:pPr>
    </w:p>
    <w:p w:rsidR="007D7DFC" w:rsidRDefault="00B56BFB" w:rsidP="00B56BFB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D7D18C" wp14:editId="248ECE70">
            <wp:simplePos x="0" y="0"/>
            <wp:positionH relativeFrom="column">
              <wp:posOffset>4533900</wp:posOffset>
            </wp:positionH>
            <wp:positionV relativeFrom="paragraph">
              <wp:posOffset>481965</wp:posOffset>
            </wp:positionV>
            <wp:extent cx="1651000" cy="1724025"/>
            <wp:effectExtent l="0" t="0" r="635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DFC">
        <w:t>Kinase inhibitors generally act through blockage of th</w:t>
      </w:r>
      <w:r>
        <w:t xml:space="preserve">e adenosine </w:t>
      </w:r>
      <w:r w:rsidR="007D7DFC">
        <w:t>binding region of ATP binding sites by chemically mimic</w:t>
      </w:r>
      <w:r>
        <w:t>king adenosine or adenine. For example, t</w:t>
      </w:r>
      <w:r w:rsidR="007D7DFC">
        <w:t>his molecule</w:t>
      </w:r>
      <w:r>
        <w:t xml:space="preserve"> (below)</w:t>
      </w:r>
      <w:r w:rsidR="007D7DFC">
        <w:t xml:space="preserve"> is found to be competitive with NAD+. [2]</w:t>
      </w:r>
      <w:r>
        <w:t xml:space="preserve"> </w:t>
      </w:r>
    </w:p>
    <w:p w:rsidR="00B56BFB" w:rsidRDefault="00B56BFB" w:rsidP="00B56BFB">
      <w:pPr>
        <w:pStyle w:val="ListParagraph"/>
      </w:pPr>
    </w:p>
    <w:p w:rsidR="00B56BFB" w:rsidRDefault="00B56BFB" w:rsidP="00B56BFB">
      <w:pPr>
        <w:pStyle w:val="ListParagraph"/>
      </w:pPr>
    </w:p>
    <w:p w:rsidR="00B56BFB" w:rsidRDefault="00B56BFB" w:rsidP="00B56BFB">
      <w:pPr>
        <w:pStyle w:val="ListParagraph"/>
      </w:pPr>
    </w:p>
    <w:p w:rsidR="00B56BFB" w:rsidRDefault="00B56BFB" w:rsidP="00B56BFB">
      <w:pPr>
        <w:pStyle w:val="ListParagraph"/>
      </w:pPr>
    </w:p>
    <w:p w:rsidR="00B56BFB" w:rsidRDefault="00B56BFB" w:rsidP="00B56BFB">
      <w:pPr>
        <w:pStyle w:val="ListParagraph"/>
      </w:pPr>
    </w:p>
    <w:p w:rsidR="00B56BFB" w:rsidRDefault="00B56BFB" w:rsidP="00B56BFB">
      <w:pPr>
        <w:pStyle w:val="ListParagraph"/>
      </w:pPr>
    </w:p>
    <w:p w:rsidR="00B56BFB" w:rsidRDefault="00B56BFB" w:rsidP="00B56BFB">
      <w:pPr>
        <w:pStyle w:val="ListParagraph"/>
      </w:pPr>
    </w:p>
    <w:p w:rsidR="00B56BFB" w:rsidRDefault="00B56BFB" w:rsidP="00B56BFB">
      <w:pPr>
        <w:pStyle w:val="ListParagraph"/>
      </w:pPr>
    </w:p>
    <w:p w:rsidR="00B56BFB" w:rsidRDefault="00B56BFB" w:rsidP="00B56BFB">
      <w:pPr>
        <w:pStyle w:val="ListParagraph"/>
      </w:pPr>
    </w:p>
    <w:p w:rsidR="007D7DFC" w:rsidRDefault="00B56BFB" w:rsidP="00B56BFB">
      <w:pPr>
        <w:pStyle w:val="ListParagraph"/>
        <w:tabs>
          <w:tab w:val="left" w:pos="8010"/>
        </w:tabs>
      </w:pPr>
      <w:r>
        <w:t>Inhibitors in this mode can place acetylate peptide in its binding site to harvest the stabilization due to its binding, and/or its interaction with inhibitor.</w:t>
      </w:r>
    </w:p>
    <w:p w:rsidR="007D7DFC" w:rsidRDefault="007D7DFC" w:rsidP="006D7DE0">
      <w:pPr>
        <w:pStyle w:val="ListParagraph"/>
      </w:pPr>
    </w:p>
    <w:p w:rsidR="007D7DFC" w:rsidRDefault="007D7DFC" w:rsidP="006D7DE0">
      <w:pPr>
        <w:pStyle w:val="ListParagraph"/>
      </w:pPr>
      <w:r>
        <w:t xml:space="preserve">[1] </w:t>
      </w:r>
      <w:r w:rsidRPr="007D7DFC">
        <w:t xml:space="preserve">J. Landry, J.T. </w:t>
      </w:r>
      <w:proofErr w:type="spellStart"/>
      <w:r w:rsidRPr="007D7DFC">
        <w:t>Slama</w:t>
      </w:r>
      <w:proofErr w:type="spellEnd"/>
      <w:r w:rsidRPr="007D7DFC">
        <w:t xml:space="preserve">, R. </w:t>
      </w:r>
      <w:proofErr w:type="spellStart"/>
      <w:r w:rsidRPr="007D7DFC">
        <w:t>Sternglanz</w:t>
      </w:r>
      <w:proofErr w:type="spellEnd"/>
      <w:r w:rsidRPr="007D7DFC">
        <w:t xml:space="preserve">, Role of </w:t>
      </w:r>
      <w:proofErr w:type="spellStart"/>
      <w:r w:rsidRPr="007D7DFC">
        <w:t>NAD+in</w:t>
      </w:r>
      <w:proofErr w:type="spellEnd"/>
      <w:r w:rsidRPr="007D7DFC">
        <w:t xml:space="preserve"> the </w:t>
      </w:r>
      <w:proofErr w:type="spellStart"/>
      <w:r w:rsidRPr="007D7DFC">
        <w:t>deacetylase</w:t>
      </w:r>
      <w:proofErr w:type="spellEnd"/>
      <w:r w:rsidRPr="007D7DFC">
        <w:t xml:space="preserve"> activity of the SIR2-like proteins, </w:t>
      </w:r>
      <w:proofErr w:type="spellStart"/>
      <w:r w:rsidRPr="007D7DFC">
        <w:t>Biochem</w:t>
      </w:r>
      <w:proofErr w:type="spellEnd"/>
      <w:r w:rsidRPr="007D7DFC">
        <w:t xml:space="preserve">. </w:t>
      </w:r>
      <w:proofErr w:type="spellStart"/>
      <w:proofErr w:type="gramStart"/>
      <w:r w:rsidRPr="007D7DFC">
        <w:t>Biophys</w:t>
      </w:r>
      <w:proofErr w:type="spellEnd"/>
      <w:r w:rsidRPr="007D7DFC">
        <w:t>.</w:t>
      </w:r>
      <w:proofErr w:type="gramEnd"/>
      <w:r w:rsidRPr="007D7DFC">
        <w:t xml:space="preserve"> Res. </w:t>
      </w:r>
      <w:proofErr w:type="spellStart"/>
      <w:r w:rsidRPr="007D7DFC">
        <w:t>Commun</w:t>
      </w:r>
      <w:proofErr w:type="spellEnd"/>
      <w:r w:rsidRPr="007D7DFC">
        <w:t>. 278 (3) (2000) 685–690.</w:t>
      </w:r>
    </w:p>
    <w:p w:rsidR="007D7DFC" w:rsidRDefault="007D7DFC" w:rsidP="006D7DE0">
      <w:pPr>
        <w:pStyle w:val="ListParagraph"/>
      </w:pPr>
      <w:r>
        <w:t xml:space="preserve">[2] </w:t>
      </w:r>
      <w:r w:rsidRPr="007D7DFC">
        <w:t xml:space="preserve">J. Trapp, A. </w:t>
      </w:r>
      <w:proofErr w:type="spellStart"/>
      <w:r w:rsidRPr="007D7DFC">
        <w:t>Jochum</w:t>
      </w:r>
      <w:proofErr w:type="spellEnd"/>
      <w:r w:rsidRPr="007D7DFC">
        <w:t xml:space="preserve">, R. Meier, L. Saunders, B. Marshall, C. </w:t>
      </w:r>
      <w:proofErr w:type="spellStart"/>
      <w:r w:rsidRPr="007D7DFC">
        <w:t>Kunick</w:t>
      </w:r>
      <w:proofErr w:type="spellEnd"/>
      <w:r w:rsidRPr="007D7DFC">
        <w:t xml:space="preserve">, E. </w:t>
      </w:r>
      <w:proofErr w:type="spellStart"/>
      <w:r w:rsidRPr="007D7DFC">
        <w:t>Verdin</w:t>
      </w:r>
      <w:proofErr w:type="spellEnd"/>
      <w:r w:rsidRPr="007D7DFC">
        <w:t xml:space="preserve">, P. </w:t>
      </w:r>
      <w:proofErr w:type="spellStart"/>
      <w:r w:rsidRPr="007D7DFC">
        <w:t>Goekjian</w:t>
      </w:r>
      <w:proofErr w:type="spellEnd"/>
      <w:r w:rsidRPr="007D7DFC">
        <w:t xml:space="preserve">, W. </w:t>
      </w:r>
      <w:proofErr w:type="spellStart"/>
      <w:r w:rsidRPr="007D7DFC">
        <w:t>Sippl</w:t>
      </w:r>
      <w:proofErr w:type="spellEnd"/>
      <w:r w:rsidRPr="007D7DFC">
        <w:t xml:space="preserve">, M. Jung, Adenosine </w:t>
      </w:r>
      <w:proofErr w:type="spellStart"/>
      <w:r w:rsidRPr="007D7DFC">
        <w:t>mimetics</w:t>
      </w:r>
      <w:proofErr w:type="spellEnd"/>
      <w:r w:rsidRPr="007D7DFC">
        <w:t xml:space="preserve"> as inhibitors of NAD+- dependent histone </w:t>
      </w:r>
      <w:proofErr w:type="spellStart"/>
      <w:r w:rsidRPr="007D7DFC">
        <w:t>deacetylases</w:t>
      </w:r>
      <w:proofErr w:type="spellEnd"/>
      <w:r w:rsidRPr="007D7DFC">
        <w:t xml:space="preserve">, from kinase to </w:t>
      </w:r>
      <w:proofErr w:type="spellStart"/>
      <w:r w:rsidRPr="007D7DFC">
        <w:t>sirtuin</w:t>
      </w:r>
      <w:proofErr w:type="spellEnd"/>
      <w:r w:rsidRPr="007D7DFC">
        <w:t xml:space="preserve"> inhibition, J. Med. Chem. 49 (2006) 7307–7316.</w:t>
      </w:r>
    </w:p>
    <w:p w:rsidR="00B56BFB" w:rsidRDefault="00B56BFB" w:rsidP="006D7DE0">
      <w:pPr>
        <w:pStyle w:val="ListParagraph"/>
      </w:pPr>
    </w:p>
    <w:p w:rsidR="00B56BFB" w:rsidRDefault="00B56BFB">
      <w:r>
        <w:br w:type="page"/>
      </w:r>
    </w:p>
    <w:p w:rsidR="00B56BFB" w:rsidRDefault="00B56BFB" w:rsidP="00B56BFB">
      <w:pPr>
        <w:pStyle w:val="ListParagraph"/>
        <w:numPr>
          <w:ilvl w:val="0"/>
          <w:numId w:val="1"/>
        </w:numPr>
      </w:pPr>
      <w:r>
        <w:lastRenderedPageBreak/>
        <w:t xml:space="preserve">Inhibition by competing with (displacing) </w:t>
      </w:r>
      <w:r>
        <w:t>acetylated peptide substrate</w:t>
      </w:r>
      <w:r>
        <w:t>:</w:t>
      </w:r>
    </w:p>
    <w:p w:rsidR="00B56BFB" w:rsidRDefault="00B56BFB" w:rsidP="006D7DE0">
      <w:pPr>
        <w:pStyle w:val="ListParagrap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F7DA6B" wp14:editId="57833321">
            <wp:simplePos x="0" y="0"/>
            <wp:positionH relativeFrom="column">
              <wp:posOffset>466725</wp:posOffset>
            </wp:positionH>
            <wp:positionV relativeFrom="paragraph">
              <wp:posOffset>346710</wp:posOffset>
            </wp:positionV>
            <wp:extent cx="1605280" cy="21145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Cambinol</w:t>
      </w:r>
      <w:proofErr w:type="spellEnd"/>
      <w:r>
        <w:t xml:space="preserve"> is competitive with </w:t>
      </w:r>
      <w:r>
        <w:t>acetylated peptide</w:t>
      </w:r>
      <w:r>
        <w:t xml:space="preserve"> </w:t>
      </w:r>
      <w:r w:rsidR="00B00E8D">
        <w:t>but not NAD+. [3]</w:t>
      </w:r>
    </w:p>
    <w:p w:rsidR="00B56BFB" w:rsidRDefault="00B56BFB" w:rsidP="006D7DE0">
      <w:pPr>
        <w:pStyle w:val="ListParagraph"/>
      </w:pPr>
    </w:p>
    <w:p w:rsidR="00B56BFB" w:rsidRDefault="00B56BFB" w:rsidP="006D7DE0">
      <w:pPr>
        <w:pStyle w:val="ListParagraph"/>
      </w:pPr>
    </w:p>
    <w:p w:rsidR="00B56BFB" w:rsidRDefault="00B56BFB" w:rsidP="006D7DE0">
      <w:pPr>
        <w:pStyle w:val="ListParagraph"/>
      </w:pPr>
    </w:p>
    <w:p w:rsidR="00B56BFB" w:rsidRDefault="00B56BFB" w:rsidP="006D7DE0">
      <w:pPr>
        <w:pStyle w:val="ListParagraph"/>
      </w:pPr>
    </w:p>
    <w:p w:rsidR="00B56BFB" w:rsidRDefault="00B56BFB" w:rsidP="006D7DE0">
      <w:pPr>
        <w:pStyle w:val="ListParagraph"/>
      </w:pPr>
    </w:p>
    <w:p w:rsidR="00B56BFB" w:rsidRDefault="00B56BFB" w:rsidP="006D7DE0">
      <w:pPr>
        <w:pStyle w:val="ListParagraph"/>
      </w:pPr>
    </w:p>
    <w:p w:rsidR="00B56BFB" w:rsidRDefault="00B56BFB" w:rsidP="006D7DE0">
      <w:pPr>
        <w:pStyle w:val="ListParagraph"/>
      </w:pPr>
    </w:p>
    <w:p w:rsidR="00B56BFB" w:rsidRDefault="00B56BFB" w:rsidP="006D7DE0">
      <w:pPr>
        <w:pStyle w:val="ListParagraph"/>
      </w:pPr>
    </w:p>
    <w:p w:rsidR="00B56BFB" w:rsidRDefault="00B56BFB" w:rsidP="006D7DE0">
      <w:pPr>
        <w:pStyle w:val="ListParagraph"/>
      </w:pPr>
    </w:p>
    <w:p w:rsidR="00B56BFB" w:rsidRDefault="00B56BFB" w:rsidP="006D7DE0">
      <w:pPr>
        <w:pStyle w:val="ListParagraph"/>
      </w:pPr>
    </w:p>
    <w:p w:rsidR="00B56BFB" w:rsidRDefault="00B56BFB" w:rsidP="006D7DE0">
      <w:pPr>
        <w:pStyle w:val="ListParagraph"/>
      </w:pPr>
    </w:p>
    <w:p w:rsidR="00B56BFB" w:rsidRDefault="00B56BFB" w:rsidP="006D7DE0">
      <w:pPr>
        <w:pStyle w:val="ListParagraph"/>
      </w:pPr>
    </w:p>
    <w:p w:rsidR="00B56BFB" w:rsidRDefault="00B00E8D" w:rsidP="006D7DE0">
      <w:pPr>
        <w:pStyle w:val="ListParagraph"/>
      </w:pPr>
      <w:proofErr w:type="spellStart"/>
      <w:r w:rsidRPr="00B00E8D">
        <w:t>Thioacetyllysine</w:t>
      </w:r>
      <w:proofErr w:type="spellEnd"/>
      <w:r w:rsidRPr="00B00E8D">
        <w:t xml:space="preserve"> peptides</w:t>
      </w:r>
      <w:r>
        <w:t xml:space="preserve"> also belong to the same category. [4]</w:t>
      </w:r>
    </w:p>
    <w:p w:rsidR="00B00E8D" w:rsidRDefault="00B00E8D" w:rsidP="006D7DE0">
      <w:pPr>
        <w:pStyle w:val="ListParagraph"/>
      </w:pPr>
      <w:r>
        <w:t xml:space="preserve">ELT inhibitors [5] (left below) bound to C pocket and peptide binding pocket as found in the crystal structures (4JSR, 4JT8, 4JT9). </w:t>
      </w:r>
      <w:r w:rsidR="00223006">
        <w:t>I</w:t>
      </w:r>
      <w:r>
        <w:t>t is not known if it competes with NAD+ or not.</w:t>
      </w:r>
    </w:p>
    <w:p w:rsidR="00B00E8D" w:rsidRDefault="00B00E8D" w:rsidP="006D7DE0">
      <w:pPr>
        <w:pStyle w:val="ListParagraph"/>
      </w:pPr>
      <w:r>
        <w:t xml:space="preserve">And </w:t>
      </w:r>
      <w:proofErr w:type="spellStart"/>
      <w:r>
        <w:t>anilinobezamide</w:t>
      </w:r>
      <w:proofErr w:type="spellEnd"/>
      <w:r>
        <w:t xml:space="preserve"> (right below) is found to be competitive with </w:t>
      </w:r>
      <w:r w:rsidR="00223006">
        <w:t>peptide substrate</w:t>
      </w:r>
      <w:r w:rsidR="00223006">
        <w:t xml:space="preserve"> as well [6].</w:t>
      </w:r>
    </w:p>
    <w:p w:rsidR="00B00E8D" w:rsidRDefault="00B00E8D" w:rsidP="006D7DE0">
      <w:pPr>
        <w:pStyle w:val="ListParagraph"/>
      </w:pPr>
      <w:r>
        <w:t xml:space="preserve"> </w:t>
      </w:r>
    </w:p>
    <w:p w:rsidR="00B56BFB" w:rsidRDefault="00B00E8D" w:rsidP="006D7DE0">
      <w:pPr>
        <w:pStyle w:val="ListParagrap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462895" wp14:editId="668FB956">
            <wp:simplePos x="0" y="0"/>
            <wp:positionH relativeFrom="column">
              <wp:posOffset>4061460</wp:posOffset>
            </wp:positionH>
            <wp:positionV relativeFrom="paragraph">
              <wp:posOffset>9525</wp:posOffset>
            </wp:positionV>
            <wp:extent cx="1786890" cy="1714500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465F8ED" wp14:editId="570B5198">
            <wp:simplePos x="0" y="0"/>
            <wp:positionH relativeFrom="column">
              <wp:posOffset>561975</wp:posOffset>
            </wp:positionH>
            <wp:positionV relativeFrom="paragraph">
              <wp:posOffset>9525</wp:posOffset>
            </wp:positionV>
            <wp:extent cx="1727835" cy="1895475"/>
            <wp:effectExtent l="0" t="0" r="571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BFB" w:rsidRDefault="00B56BFB" w:rsidP="006D7DE0">
      <w:pPr>
        <w:pStyle w:val="ListParagraph"/>
      </w:pPr>
    </w:p>
    <w:p w:rsidR="00B56BFB" w:rsidRDefault="00B56BFB" w:rsidP="006D7DE0">
      <w:pPr>
        <w:pStyle w:val="ListParagraph"/>
      </w:pPr>
    </w:p>
    <w:p w:rsidR="00B56BFB" w:rsidRDefault="00B56BFB" w:rsidP="006D7DE0">
      <w:pPr>
        <w:pStyle w:val="ListParagraph"/>
      </w:pPr>
    </w:p>
    <w:p w:rsidR="00B56BFB" w:rsidRDefault="00B56BFB" w:rsidP="006D7DE0">
      <w:pPr>
        <w:pStyle w:val="ListParagraph"/>
      </w:pPr>
    </w:p>
    <w:p w:rsidR="00B56BFB" w:rsidRDefault="00B56BFB" w:rsidP="006D7DE0">
      <w:pPr>
        <w:pStyle w:val="ListParagraph"/>
      </w:pPr>
    </w:p>
    <w:p w:rsidR="00B56BFB" w:rsidRDefault="00B56BFB" w:rsidP="006D7DE0">
      <w:pPr>
        <w:pStyle w:val="ListParagraph"/>
      </w:pPr>
    </w:p>
    <w:p w:rsidR="00B56BFB" w:rsidRDefault="00B56BFB" w:rsidP="006D7DE0">
      <w:pPr>
        <w:pStyle w:val="ListParagraph"/>
      </w:pPr>
    </w:p>
    <w:p w:rsidR="00B56BFB" w:rsidRDefault="00B56BFB" w:rsidP="006D7DE0">
      <w:pPr>
        <w:pStyle w:val="ListParagraph"/>
      </w:pPr>
    </w:p>
    <w:p w:rsidR="00B56BFB" w:rsidRDefault="00B56BFB" w:rsidP="006D7DE0">
      <w:pPr>
        <w:pStyle w:val="ListParagraph"/>
      </w:pPr>
    </w:p>
    <w:p w:rsidR="00B56BFB" w:rsidRDefault="00B56BFB" w:rsidP="006D7DE0">
      <w:pPr>
        <w:pStyle w:val="ListParagraph"/>
      </w:pPr>
      <w:bookmarkStart w:id="0" w:name="_GoBack"/>
      <w:bookmarkEnd w:id="0"/>
    </w:p>
    <w:p w:rsidR="00B56BFB" w:rsidRDefault="00B56BFB" w:rsidP="006D7DE0">
      <w:pPr>
        <w:pStyle w:val="ListParagraph"/>
      </w:pPr>
      <w:r>
        <w:t xml:space="preserve">[3] </w:t>
      </w:r>
      <w:r w:rsidRPr="00B56BFB">
        <w:t xml:space="preserve">B. </w:t>
      </w:r>
      <w:proofErr w:type="spellStart"/>
      <w:r w:rsidRPr="00B56BFB">
        <w:t>Heltweg</w:t>
      </w:r>
      <w:proofErr w:type="spellEnd"/>
      <w:r w:rsidRPr="00B56BFB">
        <w:t xml:space="preserve">, T. </w:t>
      </w:r>
      <w:proofErr w:type="spellStart"/>
      <w:r w:rsidRPr="00B56BFB">
        <w:t>Gatbonton</w:t>
      </w:r>
      <w:proofErr w:type="spellEnd"/>
      <w:r w:rsidRPr="00B56BFB">
        <w:t xml:space="preserve">, A.D. Schuler, J. </w:t>
      </w:r>
      <w:proofErr w:type="spellStart"/>
      <w:r w:rsidRPr="00B56BFB">
        <w:t>Posakony</w:t>
      </w:r>
      <w:proofErr w:type="spellEnd"/>
      <w:r w:rsidRPr="00B56BFB">
        <w:t xml:space="preserve">, H. Li, S. </w:t>
      </w:r>
      <w:proofErr w:type="spellStart"/>
      <w:r w:rsidRPr="00B56BFB">
        <w:t>Goehle</w:t>
      </w:r>
      <w:proofErr w:type="spellEnd"/>
      <w:r w:rsidRPr="00B56BFB">
        <w:t xml:space="preserve">, R. </w:t>
      </w:r>
      <w:proofErr w:type="spellStart"/>
      <w:r w:rsidRPr="00B56BFB">
        <w:t>Kollipara</w:t>
      </w:r>
      <w:proofErr w:type="spellEnd"/>
      <w:r w:rsidRPr="00B56BFB">
        <w:t xml:space="preserve">, R.A. </w:t>
      </w:r>
      <w:proofErr w:type="spellStart"/>
      <w:r w:rsidRPr="00B56BFB">
        <w:t>Depinho</w:t>
      </w:r>
      <w:proofErr w:type="spellEnd"/>
      <w:r w:rsidRPr="00B56BFB">
        <w:t xml:space="preserve">, Y. </w:t>
      </w:r>
      <w:proofErr w:type="spellStart"/>
      <w:r w:rsidRPr="00B56BFB">
        <w:t>Gu</w:t>
      </w:r>
      <w:proofErr w:type="spellEnd"/>
      <w:r w:rsidRPr="00B56BFB">
        <w:t xml:space="preserve">, J.A. Simon, A. </w:t>
      </w:r>
      <w:proofErr w:type="spellStart"/>
      <w:r w:rsidRPr="00B56BFB">
        <w:t>Bedalov</w:t>
      </w:r>
      <w:proofErr w:type="spellEnd"/>
      <w:r w:rsidRPr="00B56BFB">
        <w:t>, Antitumor activity of a small- molecule inhibitor of human silent information regulator 2 enzymes, Cancer. Res. 66 (2006) 4368–4377.</w:t>
      </w:r>
    </w:p>
    <w:p w:rsidR="00B00E8D" w:rsidRDefault="00B00E8D" w:rsidP="006D7DE0">
      <w:pPr>
        <w:pStyle w:val="ListParagraph"/>
      </w:pPr>
      <w:r>
        <w:t xml:space="preserve">[4] </w:t>
      </w:r>
      <w:r w:rsidRPr="00B00E8D">
        <w:t xml:space="preserve">B.C. Smith, J.M. </w:t>
      </w:r>
      <w:proofErr w:type="spellStart"/>
      <w:r w:rsidRPr="00B00E8D">
        <w:t>Denu</w:t>
      </w:r>
      <w:proofErr w:type="spellEnd"/>
      <w:r w:rsidRPr="00B00E8D">
        <w:t xml:space="preserve">, Mechanism-based inhibition of Sir2 </w:t>
      </w:r>
      <w:proofErr w:type="spellStart"/>
      <w:r w:rsidRPr="00B00E8D">
        <w:t>deacetylases</w:t>
      </w:r>
      <w:proofErr w:type="spellEnd"/>
      <w:r w:rsidRPr="00B00E8D">
        <w:t xml:space="preserve"> by </w:t>
      </w:r>
      <w:proofErr w:type="spellStart"/>
      <w:r w:rsidRPr="00B00E8D">
        <w:t>thioacetyl</w:t>
      </w:r>
      <w:proofErr w:type="spellEnd"/>
      <w:r w:rsidRPr="00B00E8D">
        <w:t>-lysine peptide, Biochemistry 46 (2007) 14478–14486.</w:t>
      </w:r>
    </w:p>
    <w:p w:rsidR="00B00E8D" w:rsidRDefault="00B00E8D" w:rsidP="006D7DE0">
      <w:pPr>
        <w:pStyle w:val="ListParagraph"/>
        <w:rPr>
          <w:rFonts w:ascii="Calibri" w:hAnsi="Calibri"/>
          <w:noProof/>
        </w:rPr>
      </w:pPr>
      <w:proofErr w:type="gramStart"/>
      <w:r>
        <w:t xml:space="preserve">[5) </w:t>
      </w:r>
      <w:r w:rsidRPr="007A414D">
        <w:rPr>
          <w:rFonts w:ascii="Calibri" w:hAnsi="Calibri"/>
          <w:noProof/>
        </w:rPr>
        <w:t xml:space="preserve">Disch, J. S. </w:t>
      </w:r>
      <w:r w:rsidRPr="007A414D">
        <w:rPr>
          <w:rFonts w:ascii="Calibri" w:hAnsi="Calibri"/>
          <w:i/>
          <w:iCs/>
          <w:noProof/>
        </w:rPr>
        <w:t>et al.</w:t>
      </w:r>
      <w:r w:rsidRPr="007A414D">
        <w:rPr>
          <w:rFonts w:ascii="Calibri" w:hAnsi="Calibri"/>
          <w:noProof/>
        </w:rPr>
        <w:t xml:space="preserve"> Discovery of thieno[3,2-d]pyrimidine-6-carboxamides as potent inhibitors of SIRT1, SIRT2, and SIRT3.</w:t>
      </w:r>
      <w:proofErr w:type="gramEnd"/>
      <w:r w:rsidRPr="007A414D">
        <w:rPr>
          <w:rFonts w:ascii="Calibri" w:hAnsi="Calibri"/>
          <w:noProof/>
        </w:rPr>
        <w:t xml:space="preserve"> </w:t>
      </w:r>
      <w:r w:rsidRPr="007A414D">
        <w:rPr>
          <w:rFonts w:ascii="Calibri" w:hAnsi="Calibri"/>
          <w:i/>
          <w:iCs/>
          <w:noProof/>
        </w:rPr>
        <w:t>J. Med. Chem.</w:t>
      </w:r>
      <w:r w:rsidRPr="007A414D">
        <w:rPr>
          <w:rFonts w:ascii="Calibri" w:hAnsi="Calibri"/>
          <w:noProof/>
        </w:rPr>
        <w:t xml:space="preserve"> </w:t>
      </w:r>
      <w:r w:rsidRPr="007A414D">
        <w:rPr>
          <w:rFonts w:ascii="Calibri" w:hAnsi="Calibri"/>
          <w:b/>
          <w:bCs/>
          <w:noProof/>
        </w:rPr>
        <w:t>56,</w:t>
      </w:r>
      <w:r w:rsidRPr="007A414D">
        <w:rPr>
          <w:rFonts w:ascii="Calibri" w:hAnsi="Calibri"/>
          <w:noProof/>
        </w:rPr>
        <w:t xml:space="preserve"> 3666–79 (2013)</w:t>
      </w:r>
    </w:p>
    <w:p w:rsidR="00B00E8D" w:rsidRDefault="00B00E8D" w:rsidP="006D7DE0">
      <w:pPr>
        <w:pStyle w:val="ListParagraph"/>
      </w:pPr>
      <w:r>
        <w:rPr>
          <w:rFonts w:ascii="Calibri" w:hAnsi="Calibri"/>
          <w:noProof/>
        </w:rPr>
        <w:t xml:space="preserve">[6] </w:t>
      </w:r>
      <w:r w:rsidRPr="00B00E8D">
        <w:rPr>
          <w:rFonts w:ascii="Calibri" w:hAnsi="Calibri"/>
          <w:noProof/>
        </w:rPr>
        <w:t>T. Suzuki, K. Imai, H. Nakagawa, N. Miyata, 2-Anilinobenzamides as SIRT inhibitors, ChemMedChem 1 (2006) 1059–1062</w:t>
      </w:r>
    </w:p>
    <w:sectPr w:rsidR="00B00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04A1"/>
    <w:multiLevelType w:val="hybridMultilevel"/>
    <w:tmpl w:val="A62EE5F0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9AD6DCC"/>
    <w:multiLevelType w:val="hybridMultilevel"/>
    <w:tmpl w:val="A62EE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B7"/>
    <w:rsid w:val="00223006"/>
    <w:rsid w:val="006D7DE0"/>
    <w:rsid w:val="007D7DFC"/>
    <w:rsid w:val="008A45B7"/>
    <w:rsid w:val="00944044"/>
    <w:rsid w:val="00B00E8D"/>
    <w:rsid w:val="00B5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D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D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Lin</dc:creator>
  <cp:lastModifiedBy>Ping Lin</cp:lastModifiedBy>
  <cp:revision>1</cp:revision>
  <dcterms:created xsi:type="dcterms:W3CDTF">2013-10-25T17:56:00Z</dcterms:created>
  <dcterms:modified xsi:type="dcterms:W3CDTF">2013-10-25T19:33:00Z</dcterms:modified>
</cp:coreProperties>
</file>