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60" w:rsidRPr="005E42D4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E42D4">
        <w:rPr>
          <w:rFonts w:cs="TimesNewRomanPSMT"/>
          <w:b/>
          <w:sz w:val="24"/>
          <w:szCs w:val="24"/>
        </w:rPr>
        <w:t>Overview</w:t>
      </w:r>
    </w:p>
    <w:p w:rsid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proofErr w:type="spellStart"/>
      <w:r w:rsidRPr="000A71B8">
        <w:rPr>
          <w:rFonts w:cs="TimesNewRomanPSMT"/>
          <w:sz w:val="24"/>
          <w:szCs w:val="24"/>
        </w:rPr>
        <w:t>Microscale</w:t>
      </w:r>
      <w:proofErr w:type="spellEnd"/>
      <w:r w:rsidRPr="000A71B8">
        <w:rPr>
          <w:rFonts w:cs="TimesNewRomanPSMT"/>
          <w:sz w:val="24"/>
          <w:szCs w:val="24"/>
        </w:rPr>
        <w:t xml:space="preserve"> </w:t>
      </w:r>
      <w:proofErr w:type="spellStart"/>
      <w:r w:rsidRPr="000A71B8">
        <w:rPr>
          <w:rFonts w:cs="TimesNewRomanPSMT"/>
          <w:sz w:val="24"/>
          <w:szCs w:val="24"/>
        </w:rPr>
        <w:t>thermophoresis</w:t>
      </w:r>
      <w:proofErr w:type="spellEnd"/>
      <w:r w:rsidRPr="000A71B8">
        <w:rPr>
          <w:rFonts w:cs="TimesNewRomanPSMT"/>
          <w:sz w:val="24"/>
          <w:szCs w:val="24"/>
        </w:rPr>
        <w:t xml:space="preserve"> (MST) is an emerging technique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 xml:space="preserve">that has been broadly applied to investigate </w:t>
      </w:r>
      <w:proofErr w:type="spellStart"/>
      <w:r w:rsidRPr="000A71B8">
        <w:rPr>
          <w:rFonts w:cs="TimesNewRomanPSMT"/>
          <w:sz w:val="24"/>
          <w:szCs w:val="24"/>
        </w:rPr>
        <w:t>biomolecular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interaction of a variety of drug targets. MST detects the directed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movement of fluorescent molecules in microscopic temperature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gradients in microliter-volume capillaries to quantify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interaction affinities. Each molecule has distinct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0A71B8">
        <w:rPr>
          <w:rFonts w:cs="TimesNewRomanPSMT"/>
          <w:sz w:val="24"/>
          <w:szCs w:val="24"/>
        </w:rPr>
        <w:t>thermophoretic</w:t>
      </w:r>
      <w:proofErr w:type="spellEnd"/>
      <w:r w:rsidRPr="000A71B8">
        <w:rPr>
          <w:rFonts w:cs="TimesNewRomanPSMT"/>
          <w:sz w:val="24"/>
          <w:szCs w:val="24"/>
        </w:rPr>
        <w:t xml:space="preserve"> properties, which are determined by its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size, charge, and hydration shell. Binding of ligands typically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change at least one of these parameters, resulting in changes in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 xml:space="preserve">the </w:t>
      </w:r>
      <w:proofErr w:type="spellStart"/>
      <w:r w:rsidRPr="000A71B8">
        <w:rPr>
          <w:rFonts w:cs="TimesNewRomanPSMT"/>
          <w:sz w:val="24"/>
          <w:szCs w:val="24"/>
        </w:rPr>
        <w:t>thermophoretic</w:t>
      </w:r>
      <w:proofErr w:type="spellEnd"/>
      <w:r w:rsidRPr="000A71B8">
        <w:rPr>
          <w:rFonts w:cs="TimesNewRomanPSMT"/>
          <w:sz w:val="24"/>
          <w:szCs w:val="24"/>
        </w:rPr>
        <w:t xml:space="preserve"> movement of the molecule. The change in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0A71B8">
        <w:rPr>
          <w:rFonts w:cs="TimesNewRomanPSMT"/>
          <w:sz w:val="24"/>
          <w:szCs w:val="24"/>
        </w:rPr>
        <w:t>thermophoresis</w:t>
      </w:r>
      <w:proofErr w:type="spellEnd"/>
      <w:r w:rsidRPr="000A71B8">
        <w:rPr>
          <w:rFonts w:cs="TimesNewRomanPSMT"/>
          <w:sz w:val="24"/>
          <w:szCs w:val="24"/>
        </w:rPr>
        <w:t xml:space="preserve"> can be used to derive dissociation constants (</w:t>
      </w:r>
      <w:proofErr w:type="spellStart"/>
      <w:proofErr w:type="gramStart"/>
      <w:r w:rsidRPr="000A71B8">
        <w:rPr>
          <w:rFonts w:cs="TimesNewRomanPSMT"/>
          <w:sz w:val="24"/>
          <w:szCs w:val="24"/>
        </w:rPr>
        <w:t>K</w:t>
      </w:r>
      <w:r w:rsidRPr="005E42D4">
        <w:rPr>
          <w:rFonts w:cs="TimesNewRomanPSMT"/>
          <w:sz w:val="24"/>
          <w:szCs w:val="24"/>
          <w:vertAlign w:val="subscript"/>
        </w:rPr>
        <w:t>d</w:t>
      </w:r>
      <w:proofErr w:type="spellEnd"/>
      <w:proofErr w:type="gramEnd"/>
      <w:r w:rsidRPr="000A71B8">
        <w:rPr>
          <w:rFonts w:cs="TimesNewRomanPSMT"/>
          <w:sz w:val="24"/>
          <w:szCs w:val="24"/>
        </w:rPr>
        <w:t>) within minutes by sequentially scanning capillaries with</w:t>
      </w:r>
      <w:r>
        <w:rPr>
          <w:rFonts w:cs="TimesNewRomanPSMT"/>
          <w:sz w:val="24"/>
          <w:szCs w:val="24"/>
        </w:rPr>
        <w:t xml:space="preserve"> v</w:t>
      </w:r>
      <w:r w:rsidRPr="000A71B8">
        <w:rPr>
          <w:rFonts w:cs="TimesNewRomanPSMT"/>
          <w:sz w:val="24"/>
          <w:szCs w:val="24"/>
        </w:rPr>
        <w:t>arying ligand concentrations. MST has been shown to be well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suited to detect binding of small molecules, fragments, or even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ions to biomolecules. Moreover, since movement of fluorescent molecules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through detection volume is monitored over time, additional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information about protein aggregation and denaturation can be</w:t>
      </w:r>
      <w:r>
        <w:rPr>
          <w:rFonts w:cs="TimesNewRomanPSMT"/>
          <w:sz w:val="24"/>
          <w:szCs w:val="24"/>
        </w:rPr>
        <w:t xml:space="preserve"> </w:t>
      </w:r>
      <w:r w:rsidRPr="000A71B8">
        <w:rPr>
          <w:rFonts w:cs="TimesNewRomanPSMT"/>
          <w:sz w:val="24"/>
          <w:szCs w:val="24"/>
        </w:rPr>
        <w:t>derived from the shape of MST traces.</w:t>
      </w:r>
    </w:p>
    <w:p w:rsidR="004C7B6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Gulliv-I"/>
          <w:b/>
          <w:color w:val="000000"/>
          <w:sz w:val="24"/>
          <w:szCs w:val="24"/>
        </w:rPr>
      </w:pPr>
    </w:p>
    <w:p w:rsidR="004C7B60" w:rsidRPr="00642BF9" w:rsidRDefault="004C7B60" w:rsidP="004C7B60">
      <w:pPr>
        <w:autoSpaceDE w:val="0"/>
        <w:autoSpaceDN w:val="0"/>
        <w:adjustRightInd w:val="0"/>
        <w:spacing w:after="0" w:line="240" w:lineRule="auto"/>
        <w:rPr>
          <w:rFonts w:cs="AdvGulliv-I"/>
          <w:b/>
          <w:color w:val="000000"/>
          <w:sz w:val="24"/>
          <w:szCs w:val="24"/>
        </w:rPr>
      </w:pPr>
      <w:r w:rsidRPr="00642BF9">
        <w:rPr>
          <w:rFonts w:cs="AdvGulliv-I"/>
          <w:b/>
          <w:color w:val="000000"/>
          <w:sz w:val="24"/>
          <w:szCs w:val="24"/>
        </w:rPr>
        <w:t>The MST instrument</w:t>
      </w:r>
    </w:p>
    <w:p w:rsid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AdvPS454A42"/>
          <w:sz w:val="24"/>
          <w:szCs w:val="24"/>
        </w:rPr>
      </w:pPr>
      <w:r w:rsidRPr="002F36D0">
        <w:rPr>
          <w:rFonts w:cs="AdvPS454A42"/>
          <w:sz w:val="24"/>
          <w:szCs w:val="24"/>
        </w:rPr>
        <w:t>The experimental setup consists of an infrared (IR)-Laser coupled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into the path of fluorescence excitation/emission using an IR dichroic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mirror (</w:t>
      </w:r>
      <w:r w:rsidRPr="002F36D0">
        <w:rPr>
          <w:rFonts w:cs="AdvPS4BCE73"/>
          <w:sz w:val="24"/>
          <w:szCs w:val="24"/>
        </w:rPr>
        <w:t>Fig. 1A</w:t>
      </w:r>
      <w:r>
        <w:rPr>
          <w:rFonts w:cs="AdvPS4BCE73"/>
          <w:sz w:val="24"/>
          <w:szCs w:val="24"/>
        </w:rPr>
        <w:t xml:space="preserve"> and 1B</w:t>
      </w:r>
      <w:r w:rsidRPr="002F36D0">
        <w:rPr>
          <w:rFonts w:cs="AdvPS454A42"/>
          <w:sz w:val="24"/>
          <w:szCs w:val="24"/>
        </w:rPr>
        <w:t>). The IR-Laser is focused into the sample through the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same optics that is used for fluorescence detection. This setup allows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for the mechanically robust and thus very precise observation of</w:t>
      </w:r>
      <w:r>
        <w:rPr>
          <w:rFonts w:cs="AdvPS454A42"/>
          <w:sz w:val="24"/>
          <w:szCs w:val="24"/>
        </w:rPr>
        <w:t xml:space="preserve"> </w:t>
      </w:r>
      <w:proofErr w:type="spellStart"/>
      <w:r w:rsidRPr="002F36D0">
        <w:rPr>
          <w:rFonts w:cs="AdvPS454A42"/>
          <w:sz w:val="24"/>
          <w:szCs w:val="24"/>
        </w:rPr>
        <w:t>thermophoresis</w:t>
      </w:r>
      <w:proofErr w:type="spellEnd"/>
      <w:r w:rsidRPr="002F36D0">
        <w:rPr>
          <w:rFonts w:cs="AdvPS454A42"/>
          <w:sz w:val="24"/>
          <w:szCs w:val="24"/>
        </w:rPr>
        <w:t>, since IR and visible optics are well aligned. IR-Laser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induced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heating is one of the prerequisites for a successful MST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analysis, since it has various advantages over conventional contact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heating. </w:t>
      </w:r>
      <w:r>
        <w:rPr>
          <w:rFonts w:cs="AdvPS454A42"/>
          <w:sz w:val="24"/>
          <w:szCs w:val="24"/>
        </w:rPr>
        <w:t>T</w:t>
      </w:r>
      <w:r w:rsidRPr="002F36D0">
        <w:rPr>
          <w:rFonts w:cs="AdvPS454A42"/>
          <w:sz w:val="24"/>
          <w:szCs w:val="24"/>
        </w:rPr>
        <w:t>he IR-Laser can be focused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into the sample. This allows for a localized temperature increase on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the order of a few hundred micrometers. The microscopic scale of the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temperature distribution is essential for fast MST analysis. The motion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of molecules is essentially diffusion limited and restricting the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temperature distribution to the </w:t>
      </w:r>
      <w:r w:rsidRPr="002F36D0">
        <w:rPr>
          <w:rFonts w:cs="AdvPi1"/>
          <w:sz w:val="24"/>
          <w:szCs w:val="24"/>
        </w:rPr>
        <w:t>m</w:t>
      </w:r>
      <w:r w:rsidRPr="002F36D0">
        <w:rPr>
          <w:rFonts w:cs="AdvPS454A42"/>
          <w:sz w:val="24"/>
          <w:szCs w:val="24"/>
        </w:rPr>
        <w:t>m scale enables one to quantify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changes in </w:t>
      </w:r>
      <w:proofErr w:type="spellStart"/>
      <w:r w:rsidRPr="002F36D0">
        <w:rPr>
          <w:rFonts w:cs="AdvPS454A42"/>
          <w:sz w:val="24"/>
          <w:szCs w:val="24"/>
        </w:rPr>
        <w:t>thermophoretic</w:t>
      </w:r>
      <w:proofErr w:type="spellEnd"/>
      <w:r w:rsidRPr="002F36D0">
        <w:rPr>
          <w:rFonts w:cs="AdvPS454A42"/>
          <w:sz w:val="24"/>
          <w:szCs w:val="24"/>
        </w:rPr>
        <w:t xml:space="preserve"> properties in </w:t>
      </w:r>
      <w:r w:rsidRPr="002F36D0">
        <w:rPr>
          <w:rFonts w:cs="AdvPSSym"/>
          <w:sz w:val="24"/>
          <w:szCs w:val="24"/>
        </w:rPr>
        <w:t xml:space="preserve">&lt; </w:t>
      </w:r>
      <w:r w:rsidRPr="002F36D0">
        <w:rPr>
          <w:rFonts w:cs="AdvPS454A42"/>
          <w:sz w:val="24"/>
          <w:szCs w:val="24"/>
        </w:rPr>
        <w:t>30 s. For this work, the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spatial temperature distribution and the timescales of sample heating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and </w:t>
      </w:r>
      <w:proofErr w:type="spellStart"/>
      <w:r w:rsidRPr="002F36D0">
        <w:rPr>
          <w:rFonts w:cs="AdvPS454A42"/>
          <w:sz w:val="24"/>
          <w:szCs w:val="24"/>
        </w:rPr>
        <w:t>thermophoresis</w:t>
      </w:r>
      <w:proofErr w:type="spellEnd"/>
      <w:r w:rsidRPr="002F36D0">
        <w:rPr>
          <w:rFonts w:cs="AdvPS454A42"/>
          <w:sz w:val="24"/>
          <w:szCs w:val="24"/>
        </w:rPr>
        <w:t xml:space="preserve"> were simulated by a three-dimensional finite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element calculation using </w:t>
      </w:r>
      <w:proofErr w:type="spellStart"/>
      <w:r w:rsidRPr="002F36D0">
        <w:rPr>
          <w:rFonts w:cs="AdvPS454A42"/>
          <w:sz w:val="24"/>
          <w:szCs w:val="24"/>
        </w:rPr>
        <w:t>Comsol</w:t>
      </w:r>
      <w:proofErr w:type="spellEnd"/>
      <w:r w:rsidRPr="002F36D0">
        <w:rPr>
          <w:rFonts w:cs="AdvPS454A42"/>
          <w:sz w:val="24"/>
          <w:szCs w:val="24"/>
        </w:rPr>
        <w:t xml:space="preserve"> </w:t>
      </w:r>
      <w:proofErr w:type="spellStart"/>
      <w:r w:rsidRPr="002F36D0">
        <w:rPr>
          <w:rFonts w:cs="AdvPS454A42"/>
          <w:sz w:val="24"/>
          <w:szCs w:val="24"/>
        </w:rPr>
        <w:t>Multiphysics</w:t>
      </w:r>
      <w:proofErr w:type="spellEnd"/>
      <w:r w:rsidRPr="002F36D0">
        <w:rPr>
          <w:rFonts w:cs="AdvPS454A42"/>
          <w:sz w:val="24"/>
          <w:szCs w:val="24"/>
        </w:rPr>
        <w:t xml:space="preserve"> (</w:t>
      </w:r>
      <w:r w:rsidRPr="002F36D0">
        <w:rPr>
          <w:rFonts w:cs="AdvPS4BCE73"/>
          <w:sz w:val="24"/>
          <w:szCs w:val="24"/>
        </w:rPr>
        <w:t xml:space="preserve">Fig. </w:t>
      </w:r>
      <w:r>
        <w:rPr>
          <w:rFonts w:cs="AdvPS4BCE73"/>
          <w:sz w:val="24"/>
          <w:szCs w:val="24"/>
        </w:rPr>
        <w:t>1C and 1D</w:t>
      </w:r>
      <w:r w:rsidRPr="002F36D0">
        <w:rPr>
          <w:rFonts w:cs="AdvPS454A42"/>
          <w:sz w:val="24"/>
          <w:szCs w:val="24"/>
        </w:rPr>
        <w:t>). It shows the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dominant physical effects in an MST experiment for a molecule with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diffusion coefficient of D </w:t>
      </w:r>
      <w:r w:rsidRPr="002F36D0">
        <w:rPr>
          <w:rFonts w:cs="AdvPSSym"/>
          <w:sz w:val="24"/>
          <w:szCs w:val="24"/>
        </w:rPr>
        <w:t xml:space="preserve">= </w:t>
      </w:r>
      <w:r w:rsidRPr="002F36D0">
        <w:rPr>
          <w:rFonts w:cs="AdvPS454A42"/>
          <w:sz w:val="24"/>
          <w:szCs w:val="24"/>
        </w:rPr>
        <w:t xml:space="preserve">150 </w:t>
      </w:r>
      <w:r w:rsidRPr="002F36D0">
        <w:rPr>
          <w:rFonts w:cs="AdvPi1"/>
          <w:sz w:val="24"/>
          <w:szCs w:val="24"/>
        </w:rPr>
        <w:t>m</w:t>
      </w:r>
      <w:r w:rsidRPr="002F36D0">
        <w:rPr>
          <w:rFonts w:cs="AdvPS454A42"/>
          <w:sz w:val="24"/>
          <w:szCs w:val="24"/>
        </w:rPr>
        <w:t xml:space="preserve">m2/s and a </w:t>
      </w:r>
      <w:proofErr w:type="spellStart"/>
      <w:r w:rsidRPr="002F36D0">
        <w:rPr>
          <w:rFonts w:cs="AdvPS454A42"/>
          <w:sz w:val="24"/>
          <w:szCs w:val="24"/>
        </w:rPr>
        <w:t>thermophoretic</w:t>
      </w:r>
      <w:proofErr w:type="spellEnd"/>
      <w:r w:rsidRPr="002F36D0">
        <w:rPr>
          <w:rFonts w:cs="AdvPS454A42"/>
          <w:sz w:val="24"/>
          <w:szCs w:val="24"/>
        </w:rPr>
        <w:t xml:space="preserve"> mobility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of DT </w:t>
      </w:r>
      <w:r w:rsidRPr="002F36D0">
        <w:rPr>
          <w:rFonts w:cs="AdvPSSym"/>
          <w:sz w:val="24"/>
          <w:szCs w:val="24"/>
        </w:rPr>
        <w:t xml:space="preserve">= </w:t>
      </w:r>
      <w:r w:rsidRPr="002F36D0">
        <w:rPr>
          <w:rFonts w:cs="AdvPS454A42"/>
          <w:sz w:val="24"/>
          <w:szCs w:val="24"/>
        </w:rPr>
        <w:t xml:space="preserve">5.6 </w:t>
      </w:r>
      <w:r w:rsidRPr="002F36D0">
        <w:rPr>
          <w:rFonts w:cs="AdvPi1"/>
          <w:sz w:val="24"/>
          <w:szCs w:val="24"/>
        </w:rPr>
        <w:t>m</w:t>
      </w:r>
      <w:r w:rsidRPr="002F36D0">
        <w:rPr>
          <w:rFonts w:cs="AdvPS454A42"/>
          <w:sz w:val="24"/>
          <w:szCs w:val="24"/>
        </w:rPr>
        <w:t>m2</w:t>
      </w:r>
      <w:proofErr w:type="gramStart"/>
      <w:r w:rsidRPr="002F36D0">
        <w:rPr>
          <w:rFonts w:cs="AdvPS454A42"/>
          <w:sz w:val="24"/>
          <w:szCs w:val="24"/>
        </w:rPr>
        <w:t>/(</w:t>
      </w:r>
      <w:proofErr w:type="spellStart"/>
      <w:proofErr w:type="gramEnd"/>
      <w:r w:rsidRPr="002F36D0">
        <w:rPr>
          <w:rFonts w:cs="AdvPS454A42"/>
          <w:sz w:val="24"/>
          <w:szCs w:val="24"/>
        </w:rPr>
        <w:t>sK</w:t>
      </w:r>
      <w:proofErr w:type="spellEnd"/>
      <w:r w:rsidRPr="002F36D0">
        <w:rPr>
          <w:rFonts w:cs="AdvPS454A42"/>
          <w:sz w:val="24"/>
          <w:szCs w:val="24"/>
        </w:rPr>
        <w:t xml:space="preserve">). </w:t>
      </w:r>
      <w:proofErr w:type="gramStart"/>
      <w:r w:rsidRPr="002F36D0">
        <w:rPr>
          <w:rFonts w:cs="AdvPS454A42"/>
          <w:sz w:val="24"/>
          <w:szCs w:val="24"/>
        </w:rPr>
        <w:t>After this fast increase in temperature</w:t>
      </w:r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 xml:space="preserve">(MST temperature jump or MST T-Jump), </w:t>
      </w:r>
      <w:proofErr w:type="spellStart"/>
      <w:r w:rsidRPr="002F36D0">
        <w:rPr>
          <w:rFonts w:cs="AdvPS454A42"/>
          <w:sz w:val="24"/>
          <w:szCs w:val="24"/>
        </w:rPr>
        <w:t>thermophoresis</w:t>
      </w:r>
      <w:proofErr w:type="spellEnd"/>
      <w:r>
        <w:rPr>
          <w:rFonts w:cs="AdvPS454A42"/>
          <w:sz w:val="24"/>
          <w:szCs w:val="24"/>
        </w:rPr>
        <w:t xml:space="preserve"> </w:t>
      </w:r>
      <w:r w:rsidRPr="002F36D0">
        <w:rPr>
          <w:rFonts w:cs="AdvPS454A42"/>
          <w:sz w:val="24"/>
          <w:szCs w:val="24"/>
        </w:rPr>
        <w:t>sets in and builds up a concentration gradient in the solution.</w:t>
      </w:r>
      <w:proofErr w:type="gramEnd"/>
      <w:r w:rsidRPr="002F36D0">
        <w:rPr>
          <w:rFonts w:cs="AdvPS454A42"/>
          <w:sz w:val="24"/>
          <w:szCs w:val="24"/>
        </w:rPr>
        <w:t xml:space="preserve"> </w:t>
      </w:r>
    </w:p>
    <w:p w:rsidR="004C7B60" w:rsidRPr="002F36D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Gulliv-R"/>
          <w:color w:val="000000"/>
          <w:sz w:val="24"/>
          <w:szCs w:val="24"/>
        </w:rPr>
      </w:pPr>
    </w:p>
    <w:p w:rsid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AdvGulliv-R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7B60" w:rsidTr="007F3E23">
        <w:tc>
          <w:tcPr>
            <w:tcW w:w="9576" w:type="dxa"/>
          </w:tcPr>
          <w:p w:rsidR="004C7B60" w:rsidRDefault="004C7B60" w:rsidP="007F3E23">
            <w:pPr>
              <w:autoSpaceDE w:val="0"/>
              <w:autoSpaceDN w:val="0"/>
              <w:adjustRightInd w:val="0"/>
              <w:rPr>
                <w:rFonts w:cs="AdvGulliv-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643731" wp14:editId="5BA6473D">
                  <wp:extent cx="5943600" cy="46228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60" w:rsidTr="007F3E23">
        <w:tc>
          <w:tcPr>
            <w:tcW w:w="9576" w:type="dxa"/>
          </w:tcPr>
          <w:p w:rsidR="004C7B60" w:rsidRDefault="004C7B60" w:rsidP="004C7B60">
            <w:pPr>
              <w:autoSpaceDE w:val="0"/>
              <w:autoSpaceDN w:val="0"/>
              <w:adjustRightInd w:val="0"/>
              <w:jc w:val="both"/>
              <w:rPr>
                <w:rFonts w:cs="AdvGulliv-I"/>
                <w:b/>
                <w:color w:val="000000"/>
                <w:sz w:val="24"/>
                <w:szCs w:val="24"/>
              </w:rPr>
            </w:pPr>
            <w:r w:rsidRPr="005E42D4">
              <w:rPr>
                <w:rFonts w:cs="Calibri,Bold"/>
                <w:b/>
                <w:bCs/>
                <w:sz w:val="20"/>
                <w:szCs w:val="20"/>
              </w:rPr>
              <w:t xml:space="preserve">Figure1 </w:t>
            </w:r>
            <w:r w:rsidRPr="005E42D4">
              <w:rPr>
                <w:rFonts w:cs="Calibri"/>
                <w:sz w:val="20"/>
                <w:szCs w:val="20"/>
              </w:rPr>
              <w:t>(A) Schematic representation of MST instrumentation. MST is measured in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 xml:space="preserve">capillaries with a total volume of 10 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μL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>. The fluorescence within the capillary is excited and detected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>through the same objective, and coupled with an IR-Laser to locally heat a defined sample volume.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Thermophoresis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 xml:space="preserve"> of fluorescent molecules through the temperature gradient is detected over time. (B)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>Schematic MST trace. Prior to IR laser activation, fluorescent molecules are homogeneously distributed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>and a constant initial fluorescence is detected. Within the first second after activation of the IR laser, the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sz w:val="20"/>
                <w:szCs w:val="20"/>
              </w:rPr>
              <w:t xml:space="preserve">“MST T-Jump” is observed, followed by a slower </w:t>
            </w:r>
            <w:proofErr w:type="spellStart"/>
            <w:r w:rsidRPr="005E42D4">
              <w:rPr>
                <w:sz w:val="20"/>
                <w:szCs w:val="20"/>
              </w:rPr>
              <w:t>thermophoretic</w:t>
            </w:r>
            <w:proofErr w:type="spellEnd"/>
            <w:r w:rsidRPr="005E42D4">
              <w:rPr>
                <w:sz w:val="20"/>
                <w:szCs w:val="20"/>
              </w:rPr>
              <w:t xml:space="preserve"> redistribution of the fluorescent labeled molecules. The </w:t>
            </w:r>
            <w:proofErr w:type="spellStart"/>
            <w:r w:rsidRPr="005E42D4">
              <w:rPr>
                <w:sz w:val="20"/>
                <w:szCs w:val="20"/>
              </w:rPr>
              <w:t>thermophoretic</w:t>
            </w:r>
            <w:proofErr w:type="spellEnd"/>
            <w:r w:rsidRPr="005E42D4">
              <w:rPr>
                <w:sz w:val="20"/>
                <w:szCs w:val="20"/>
              </w:rPr>
              <w:t xml:space="preserve"> movement is detected for a defined time period. Deactivation of the </w:t>
            </w:r>
            <w:proofErr w:type="spellStart"/>
            <w:r w:rsidRPr="005E42D4">
              <w:rPr>
                <w:sz w:val="20"/>
                <w:szCs w:val="20"/>
              </w:rPr>
              <w:t>IRAn</w:t>
            </w:r>
            <w:proofErr w:type="spellEnd"/>
            <w:r w:rsidRPr="005E42D4">
              <w:rPr>
                <w:sz w:val="20"/>
                <w:szCs w:val="20"/>
              </w:rPr>
              <w:t xml:space="preserve"> Automated </w:t>
            </w:r>
            <w:proofErr w:type="spellStart"/>
            <w:r w:rsidRPr="005E42D4">
              <w:rPr>
                <w:sz w:val="20"/>
                <w:szCs w:val="20"/>
              </w:rPr>
              <w:t>Microscale</w:t>
            </w:r>
            <w:proofErr w:type="spellEnd"/>
            <w:r w:rsidRPr="005E42D4">
              <w:rPr>
                <w:sz w:val="20"/>
                <w:szCs w:val="20"/>
              </w:rPr>
              <w:t xml:space="preserve"> </w:t>
            </w:r>
            <w:proofErr w:type="spellStart"/>
            <w:r w:rsidRPr="005E42D4">
              <w:rPr>
                <w:sz w:val="20"/>
                <w:szCs w:val="20"/>
              </w:rPr>
              <w:t>Thermophoresis</w:t>
            </w:r>
            <w:proofErr w:type="spellEnd"/>
            <w:r w:rsidRPr="005E42D4">
              <w:rPr>
                <w:sz w:val="20"/>
                <w:szCs w:val="20"/>
              </w:rPr>
              <w:t xml:space="preserve"> Screening Approach for Fragment-Based Lead Discovery 5 Laser leads to </w:t>
            </w:r>
            <w:proofErr w:type="spellStart"/>
            <w:r w:rsidRPr="005E42D4">
              <w:rPr>
                <w:sz w:val="20"/>
                <w:szCs w:val="20"/>
              </w:rPr>
              <w:t>backdiffusion</w:t>
            </w:r>
            <w:proofErr w:type="spellEnd"/>
            <w:r w:rsidRPr="005E42D4">
              <w:rPr>
                <w:sz w:val="20"/>
                <w:szCs w:val="20"/>
              </w:rPr>
              <w:t xml:space="preserve"> of molecules, which is solely driven by mass diffusion. MST, </w:t>
            </w:r>
            <w:proofErr w:type="spellStart"/>
            <w:r w:rsidRPr="005E42D4">
              <w:rPr>
                <w:sz w:val="20"/>
                <w:szCs w:val="20"/>
              </w:rPr>
              <w:t>MicroScale</w:t>
            </w:r>
            <w:proofErr w:type="spellEnd"/>
            <w:r w:rsidRPr="005E42D4">
              <w:rPr>
                <w:sz w:val="20"/>
                <w:szCs w:val="20"/>
              </w:rPr>
              <w:t xml:space="preserve"> </w:t>
            </w:r>
            <w:proofErr w:type="spellStart"/>
            <w:r w:rsidRPr="005E42D4">
              <w:rPr>
                <w:sz w:val="20"/>
                <w:szCs w:val="20"/>
              </w:rPr>
              <w:t>Thermophoresis</w:t>
            </w:r>
            <w:proofErr w:type="spellEnd"/>
            <w:r w:rsidRPr="005E42D4">
              <w:rPr>
                <w:sz w:val="20"/>
                <w:szCs w:val="20"/>
              </w:rPr>
              <w:t>; IR, infra-red; T-Jump, temperature jump. (C) Typical MST binding experiment. The thermos-</w:t>
            </w:r>
            <w:proofErr w:type="spellStart"/>
            <w:r w:rsidRPr="005E42D4">
              <w:rPr>
                <w:sz w:val="20"/>
                <w:szCs w:val="20"/>
              </w:rPr>
              <w:t>phoretic</w:t>
            </w:r>
            <w:proofErr w:type="spellEnd"/>
            <w:r w:rsidRPr="005E42D4">
              <w:rPr>
                <w:sz w:val="20"/>
                <w:szCs w:val="20"/>
              </w:rPr>
              <w:t xml:space="preserve"> movement of a fluorescent molecule (black trace; “unbound”) changes upon binding to a non-fluorescent ligand (red trace; “bound”). (D) For analysis, the change </w:t>
            </w:r>
            <w:r w:rsidRPr="005E42D4">
              <w:rPr>
                <w:rFonts w:cs="Calibri"/>
                <w:sz w:val="20"/>
                <w:szCs w:val="20"/>
              </w:rPr>
              <w:t xml:space="preserve">in 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thermophoresis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 xml:space="preserve"> is expressed</w:t>
            </w:r>
            <w:r>
              <w:rPr>
                <w:rFonts w:cs="Calibri"/>
                <w:sz w:val="20"/>
                <w:szCs w:val="20"/>
              </w:rPr>
              <w:t xml:space="preserve"> as the change in the n</w:t>
            </w:r>
            <w:r w:rsidRPr="005E42D4">
              <w:rPr>
                <w:rFonts w:cs="Calibri"/>
                <w:sz w:val="20"/>
                <w:szCs w:val="20"/>
              </w:rPr>
              <w:t>ormalized fluorescence (</w:t>
            </w:r>
            <w:proofErr w:type="spellStart"/>
            <w:r w:rsidRPr="004C7B60">
              <w:rPr>
                <w:rFonts w:ascii="Symbol" w:hAnsi="Symbol" w:cs="Symbol"/>
                <w:sz w:val="20"/>
                <w:szCs w:val="20"/>
              </w:rPr>
              <w:t></w:t>
            </w:r>
            <w:r w:rsidRPr="005E42D4">
              <w:rPr>
                <w:rFonts w:cs="Calibri"/>
                <w:sz w:val="20"/>
                <w:szCs w:val="20"/>
              </w:rPr>
              <w:t>Fnorm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 xml:space="preserve">), which is defined as 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Fhot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Fcold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 xml:space="preserve"> (F-values correspond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>to average fluorescence values between defined areas marked by the red and blue cursors, respectively).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E42D4">
              <w:rPr>
                <w:rFonts w:cs="Calibri"/>
                <w:sz w:val="20"/>
                <w:szCs w:val="20"/>
              </w:rPr>
              <w:t xml:space="preserve">Titration of the non-fluorescent ligand results in a gradual change in </w:t>
            </w:r>
            <w:proofErr w:type="spellStart"/>
            <w:r w:rsidRPr="005E42D4">
              <w:rPr>
                <w:rFonts w:cs="Calibri"/>
                <w:sz w:val="20"/>
                <w:szCs w:val="20"/>
              </w:rPr>
              <w:t>thermophoresis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>, which is plotted as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C7B60">
              <w:rPr>
                <w:rFonts w:ascii="Symbol" w:hAnsi="Symbol" w:cs="Symbol"/>
                <w:sz w:val="20"/>
                <w:szCs w:val="20"/>
              </w:rPr>
              <w:t></w:t>
            </w:r>
            <w:r w:rsidRPr="005E42D4">
              <w:rPr>
                <w:rFonts w:cs="Calibri"/>
                <w:sz w:val="20"/>
                <w:szCs w:val="20"/>
              </w:rPr>
              <w:t>Fnorm</w:t>
            </w:r>
            <w:proofErr w:type="spellEnd"/>
            <w:r w:rsidRPr="005E42D4">
              <w:rPr>
                <w:rFonts w:cs="Calibri"/>
                <w:sz w:val="20"/>
                <w:szCs w:val="20"/>
              </w:rPr>
              <w:t xml:space="preserve"> versus ligand concentration to yield a binding curve which can be fitted to derive binding constants.</w:t>
            </w:r>
          </w:p>
        </w:tc>
      </w:tr>
    </w:tbl>
    <w:p w:rsidR="00FC6835" w:rsidRDefault="004C7B60"/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PS454A42"/>
          <w:b/>
          <w:sz w:val="24"/>
          <w:szCs w:val="24"/>
        </w:rPr>
      </w:pPr>
      <w:r w:rsidRPr="004C7B60">
        <w:rPr>
          <w:rFonts w:cs="AdvP3D0CFA"/>
          <w:b/>
          <w:sz w:val="24"/>
          <w:szCs w:val="24"/>
        </w:rPr>
        <w:t>THEORETICAL BACKGROUND OF THERMOPHORESIS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AdvPS454A42"/>
          <w:sz w:val="24"/>
          <w:szCs w:val="24"/>
        </w:rPr>
      </w:pPr>
      <w:r w:rsidRPr="004C7B60">
        <w:rPr>
          <w:rFonts w:cs="AdvPS454A42"/>
          <w:sz w:val="24"/>
          <w:szCs w:val="24"/>
        </w:rPr>
        <w:t>A temperature gradient in an aqueous solution of (bio-) molecules induces not only a flow of heat but also a flow of molecules. This coupling between a heat-flow and mass flow is known as Ludwig-</w:t>
      </w:r>
      <w:proofErr w:type="spellStart"/>
      <w:r w:rsidRPr="004C7B60">
        <w:rPr>
          <w:rFonts w:cs="AdvPS454A42"/>
          <w:sz w:val="24"/>
          <w:szCs w:val="24"/>
        </w:rPr>
        <w:t>Soret</w:t>
      </w:r>
      <w:proofErr w:type="spellEnd"/>
      <w:r w:rsidRPr="004C7B60">
        <w:rPr>
          <w:rFonts w:cs="AdvPS454A42"/>
          <w:sz w:val="24"/>
          <w:szCs w:val="24"/>
        </w:rPr>
        <w:t xml:space="preserve"> effect or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. It was first observed by Carl Ludwig in 1856. </w:t>
      </w:r>
      <w:bookmarkStart w:id="0" w:name="_GoBack"/>
      <w:bookmarkEnd w:id="0"/>
      <w:r w:rsidRPr="004C7B60">
        <w:rPr>
          <w:rFonts w:cs="AdvPS454A42"/>
          <w:sz w:val="24"/>
          <w:szCs w:val="24"/>
        </w:rPr>
        <w:t xml:space="preserve">While </w:t>
      </w:r>
      <w:proofErr w:type="spellStart"/>
      <w:r w:rsidRPr="004C7B60">
        <w:rPr>
          <w:rFonts w:cs="AdvPS454A42"/>
          <w:sz w:val="24"/>
          <w:szCs w:val="24"/>
        </w:rPr>
        <w:lastRenderedPageBreak/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in gases was theoretically predicted before it was experimentally observed, the origin of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in liquids remained obscure. The first systematic studies of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of salts in aqueous solution were carried out in 1879. Today, it is commonly argued that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is a local </w:t>
      </w:r>
      <w:proofErr w:type="spellStart"/>
      <w:r w:rsidRPr="004C7B60">
        <w:rPr>
          <w:rFonts w:cs="AdvPS454A42"/>
          <w:sz w:val="24"/>
          <w:szCs w:val="24"/>
        </w:rPr>
        <w:t>nonequilibrium</w:t>
      </w:r>
      <w:proofErr w:type="spellEnd"/>
      <w:r w:rsidRPr="004C7B60">
        <w:rPr>
          <w:rFonts w:cs="AdvPS454A42"/>
          <w:sz w:val="24"/>
          <w:szCs w:val="24"/>
        </w:rPr>
        <w:t xml:space="preserve"> effect that requires fluid dynamics, force fields, or particle–solvent potentials. Other approaches assume molecules in a local thermodynamic equilibrium and apply equilibrium thermodynamics to describe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in liquids. Most approaches have in common that the solvent particle interface and particle </w:t>
      </w:r>
      <w:r w:rsidRPr="004C7B60">
        <w:rPr>
          <w:rFonts w:cs="AdvPS454A42"/>
          <w:sz w:val="24"/>
          <w:szCs w:val="24"/>
        </w:rPr>
        <w:t>charges are</w:t>
      </w:r>
      <w:r w:rsidRPr="004C7B60">
        <w:rPr>
          <w:rFonts w:cs="AdvPS454A42"/>
          <w:sz w:val="24"/>
          <w:szCs w:val="24"/>
        </w:rPr>
        <w:t xml:space="preserve"> of great importance to explain the </w:t>
      </w:r>
      <w:proofErr w:type="spellStart"/>
      <w:r w:rsidRPr="004C7B60">
        <w:rPr>
          <w:rFonts w:cs="AdvPS454A42"/>
          <w:sz w:val="24"/>
          <w:szCs w:val="24"/>
        </w:rPr>
        <w:t>thermophoretic</w:t>
      </w:r>
      <w:proofErr w:type="spellEnd"/>
      <w:r w:rsidRPr="004C7B60">
        <w:rPr>
          <w:rFonts w:cs="AdvPS454A42"/>
          <w:sz w:val="24"/>
          <w:szCs w:val="24"/>
        </w:rPr>
        <w:t xml:space="preserve"> effect. Notably, the temperature dependence of the diffusion coefficient through the Einstein relation does not suffice to describe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 as it is typically 10-fold smaller than the measured </w:t>
      </w:r>
      <w:proofErr w:type="spellStart"/>
      <w:r w:rsidRPr="004C7B60">
        <w:rPr>
          <w:rFonts w:cs="AdvPS454A42"/>
          <w:sz w:val="24"/>
          <w:szCs w:val="24"/>
        </w:rPr>
        <w:t>thermophoresis</w:t>
      </w:r>
      <w:proofErr w:type="spellEnd"/>
      <w:r w:rsidRPr="004C7B60">
        <w:rPr>
          <w:rFonts w:cs="AdvPS454A42"/>
          <w:sz w:val="24"/>
          <w:szCs w:val="24"/>
        </w:rPr>
        <w:t xml:space="preserve">. 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PS454A42"/>
          <w:sz w:val="24"/>
          <w:szCs w:val="24"/>
        </w:rPr>
      </w:pP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AdvPS454A42"/>
          <w:sz w:val="24"/>
          <w:szCs w:val="24"/>
        </w:rPr>
      </w:pPr>
      <w:r w:rsidRPr="004C7B60">
        <w:rPr>
          <w:rFonts w:cs="AdvPS454A42"/>
          <w:sz w:val="24"/>
          <w:szCs w:val="24"/>
        </w:rPr>
        <w:t xml:space="preserve">In general, the movement of molecules in a temperature gradient is described </w:t>
      </w:r>
      <w:proofErr w:type="spellStart"/>
      <w:r w:rsidRPr="004C7B60">
        <w:rPr>
          <w:rFonts w:cs="AdvPS454A42"/>
          <w:sz w:val="24"/>
          <w:szCs w:val="24"/>
        </w:rPr>
        <w:t>phenomeno</w:t>
      </w:r>
      <w:proofErr w:type="spellEnd"/>
      <w:r w:rsidRPr="004C7B60">
        <w:rPr>
          <w:rFonts w:cs="AdvPS454A42"/>
          <w:sz w:val="24"/>
          <w:szCs w:val="24"/>
        </w:rPr>
        <w:t xml:space="preserve">-logically with a linear drift response. The molecule velocity v </w:t>
      </w:r>
      <w:r w:rsidRPr="004C7B60">
        <w:rPr>
          <w:rFonts w:cs="AdvPSSym"/>
          <w:sz w:val="24"/>
          <w:szCs w:val="24"/>
        </w:rPr>
        <w:t>= -</w:t>
      </w:r>
      <w:proofErr w:type="spellStart"/>
      <w:r w:rsidRPr="004C7B60">
        <w:rPr>
          <w:rFonts w:cs="AdvPS454A42"/>
          <w:sz w:val="24"/>
          <w:szCs w:val="24"/>
        </w:rPr>
        <w:t>D</w:t>
      </w:r>
      <w:r w:rsidRPr="004C7B60">
        <w:rPr>
          <w:rFonts w:cs="AdvPS454A42"/>
          <w:sz w:val="24"/>
          <w:szCs w:val="24"/>
          <w:vertAlign w:val="subscript"/>
        </w:rPr>
        <w:t>Ti</w:t>
      </w:r>
      <w:r w:rsidRPr="004C7B60">
        <w:rPr>
          <w:rFonts w:cs="AdvPS454A42"/>
          <w:sz w:val="24"/>
          <w:szCs w:val="24"/>
        </w:rPr>
        <w:t>GradT</w:t>
      </w:r>
      <w:proofErr w:type="spellEnd"/>
      <w:r w:rsidRPr="004C7B60">
        <w:rPr>
          <w:rFonts w:cs="AdvPS454A42"/>
          <w:sz w:val="24"/>
          <w:szCs w:val="24"/>
        </w:rPr>
        <w:t xml:space="preserve"> is linearly dependent on the temperature gradient (</w:t>
      </w:r>
      <w:proofErr w:type="spellStart"/>
      <w:r w:rsidRPr="004C7B60">
        <w:rPr>
          <w:rFonts w:cs="AdvPS454A42"/>
          <w:sz w:val="24"/>
          <w:szCs w:val="24"/>
        </w:rPr>
        <w:t>GradT</w:t>
      </w:r>
      <w:proofErr w:type="spellEnd"/>
      <w:r w:rsidRPr="004C7B60">
        <w:rPr>
          <w:rFonts w:cs="AdvPS454A42"/>
          <w:sz w:val="24"/>
          <w:szCs w:val="24"/>
        </w:rPr>
        <w:t xml:space="preserve">) with a proportionality constant </w:t>
      </w:r>
      <w:proofErr w:type="spellStart"/>
      <w:r w:rsidRPr="004C7B60">
        <w:rPr>
          <w:rFonts w:cs="AdvPS454A42"/>
          <w:sz w:val="24"/>
          <w:szCs w:val="24"/>
        </w:rPr>
        <w:t>D</w:t>
      </w:r>
      <w:r w:rsidRPr="004C7B60">
        <w:rPr>
          <w:rFonts w:cs="AdvPS454A42"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sz w:val="24"/>
          <w:szCs w:val="24"/>
        </w:rPr>
        <w:t xml:space="preserve">, termed thermal diffusion coefficient or </w:t>
      </w:r>
      <w:proofErr w:type="spellStart"/>
      <w:r w:rsidRPr="004C7B60">
        <w:rPr>
          <w:rFonts w:cs="AdvPS454A42"/>
          <w:sz w:val="24"/>
          <w:szCs w:val="24"/>
        </w:rPr>
        <w:t>thermophoretic</w:t>
      </w:r>
      <w:proofErr w:type="spellEnd"/>
      <w:r w:rsidRPr="004C7B60">
        <w:rPr>
          <w:rFonts w:cs="AdvPS454A42"/>
          <w:sz w:val="24"/>
          <w:szCs w:val="24"/>
        </w:rPr>
        <w:t xml:space="preserve"> mobility. We have indexed the different states and types of the solved molecules with index </w:t>
      </w:r>
      <w:proofErr w:type="spellStart"/>
      <w:r w:rsidRPr="004C7B60">
        <w:rPr>
          <w:rFonts w:cs="AdvPS454A42"/>
          <w:sz w:val="24"/>
          <w:szCs w:val="24"/>
        </w:rPr>
        <w:t>i</w:t>
      </w:r>
      <w:proofErr w:type="spellEnd"/>
      <w:r w:rsidRPr="004C7B60">
        <w:rPr>
          <w:rFonts w:cs="AdvPS454A42"/>
          <w:sz w:val="24"/>
          <w:szCs w:val="24"/>
        </w:rPr>
        <w:t xml:space="preserve">. In steady state, this drift is counterbalanced by mass diffusion. For low molecule concentrations—here on the </w:t>
      </w:r>
      <w:proofErr w:type="spellStart"/>
      <w:r w:rsidRPr="004C7B60">
        <w:rPr>
          <w:rFonts w:cs="AdvPS454A42"/>
          <w:sz w:val="24"/>
          <w:szCs w:val="24"/>
        </w:rPr>
        <w:t>nanomolar</w:t>
      </w:r>
      <w:proofErr w:type="spellEnd"/>
      <w:r w:rsidRPr="004C7B60">
        <w:rPr>
          <w:rFonts w:cs="AdvPS454A42"/>
          <w:sz w:val="24"/>
          <w:szCs w:val="24"/>
        </w:rPr>
        <w:t xml:space="preserve"> scale—the balance of molecule flow densities becomes 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PS454A42"/>
          <w:i/>
          <w:sz w:val="24"/>
          <w:szCs w:val="24"/>
        </w:rPr>
      </w:pPr>
      <w:proofErr w:type="spellStart"/>
      <w:proofErr w:type="gramStart"/>
      <w:r w:rsidRPr="004C7B60">
        <w:rPr>
          <w:rFonts w:cs="AdvPS454A42"/>
          <w:i/>
          <w:sz w:val="24"/>
          <w:szCs w:val="24"/>
        </w:rPr>
        <w:t>j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proofErr w:type="spellEnd"/>
      <w:proofErr w:type="gramEnd"/>
      <w:r w:rsidRPr="004C7B60">
        <w:rPr>
          <w:rFonts w:cs="AdvPS454A42"/>
          <w:i/>
          <w:sz w:val="24"/>
          <w:szCs w:val="24"/>
        </w:rPr>
        <w:t xml:space="preserve"> </w:t>
      </w:r>
      <w:r w:rsidRPr="004C7B60">
        <w:rPr>
          <w:rFonts w:cs="AdvP7DED"/>
          <w:i/>
          <w:sz w:val="24"/>
          <w:szCs w:val="24"/>
        </w:rPr>
        <w:t xml:space="preserve">= </w:t>
      </w:r>
      <w:r w:rsidRPr="004C7B60">
        <w:rPr>
          <w:rFonts w:cs="AdvPSSym"/>
          <w:i/>
          <w:sz w:val="24"/>
          <w:szCs w:val="24"/>
        </w:rPr>
        <w:t xml:space="preserve">- </w:t>
      </w:r>
      <w:proofErr w:type="spellStart"/>
      <w:r w:rsidRPr="004C7B60">
        <w:rPr>
          <w:rFonts w:cs="AdvPS454A42"/>
          <w:i/>
          <w:sz w:val="24"/>
          <w:szCs w:val="24"/>
        </w:rPr>
        <w:t>c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r w:rsidRPr="004C7B60">
        <w:rPr>
          <w:rFonts w:cs="AdvPS454A42"/>
          <w:i/>
          <w:sz w:val="24"/>
          <w:szCs w:val="24"/>
        </w:rPr>
        <w:t>D</w:t>
      </w:r>
      <w:r w:rsidRPr="004C7B60">
        <w:rPr>
          <w:rFonts w:cs="AdvPS454A42"/>
          <w:i/>
          <w:sz w:val="24"/>
          <w:szCs w:val="24"/>
          <w:vertAlign w:val="subscript"/>
        </w:rPr>
        <w:t>Ti</w:t>
      </w:r>
      <w:r w:rsidRPr="004C7B60">
        <w:rPr>
          <w:rFonts w:cs="AdvPS454A42"/>
          <w:i/>
          <w:sz w:val="24"/>
          <w:szCs w:val="24"/>
        </w:rPr>
        <w:t>Grad</w:t>
      </w:r>
      <w:proofErr w:type="spellEnd"/>
      <w:r w:rsidRPr="004C7B60">
        <w:rPr>
          <w:rFonts w:cs="AdvPS454A42"/>
          <w:i/>
          <w:sz w:val="24"/>
          <w:szCs w:val="24"/>
        </w:rPr>
        <w:t xml:space="preserve"> T </w:t>
      </w:r>
      <w:r w:rsidRPr="004C7B60">
        <w:rPr>
          <w:rFonts w:cs="AdvPSSym"/>
          <w:i/>
          <w:sz w:val="24"/>
          <w:szCs w:val="24"/>
        </w:rPr>
        <w:t xml:space="preserve">- </w:t>
      </w:r>
      <w:r w:rsidRPr="004C7B60">
        <w:rPr>
          <w:rFonts w:cs="AdvPS454A42"/>
          <w:i/>
          <w:sz w:val="24"/>
          <w:szCs w:val="24"/>
        </w:rPr>
        <w:t>D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r w:rsidRPr="004C7B60">
        <w:rPr>
          <w:rFonts w:cs="AdvPS454A42"/>
          <w:i/>
          <w:sz w:val="24"/>
          <w:szCs w:val="24"/>
        </w:rPr>
        <w:t xml:space="preserve"> </w:t>
      </w:r>
      <w:proofErr w:type="spellStart"/>
      <w:r w:rsidRPr="004C7B60">
        <w:rPr>
          <w:rFonts w:cs="AdvPS454A42"/>
          <w:i/>
          <w:sz w:val="24"/>
          <w:szCs w:val="24"/>
        </w:rPr>
        <w:t>Gradc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proofErr w:type="spellEnd"/>
      <w:r w:rsidRPr="004C7B60">
        <w:rPr>
          <w:rFonts w:cs="AdvPS454A42"/>
          <w:i/>
          <w:sz w:val="24"/>
          <w:szCs w:val="24"/>
          <w:vertAlign w:val="subscript"/>
        </w:rPr>
        <w:t xml:space="preserve"> </w:t>
      </w:r>
      <w:r w:rsidRPr="004C7B60">
        <w:rPr>
          <w:rFonts w:cs="AdvPS454A42"/>
          <w:i/>
          <w:sz w:val="24"/>
          <w:szCs w:val="24"/>
        </w:rPr>
        <w:t xml:space="preserve">                                                                                                                        (1)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rFonts w:cs="AdvPS454A42"/>
          <w:sz w:val="24"/>
          <w:szCs w:val="24"/>
        </w:rPr>
      </w:pPr>
      <w:proofErr w:type="gramStart"/>
      <w:r w:rsidRPr="004C7B60">
        <w:rPr>
          <w:rFonts w:cs="AdvPS454A42"/>
          <w:sz w:val="24"/>
          <w:szCs w:val="24"/>
        </w:rPr>
        <w:t>with</w:t>
      </w:r>
      <w:proofErr w:type="gramEnd"/>
      <w:r w:rsidRPr="004C7B60">
        <w:rPr>
          <w:rFonts w:cs="AdvPS454A42"/>
          <w:sz w:val="24"/>
          <w:szCs w:val="24"/>
        </w:rPr>
        <w:t xml:space="preserve"> diffusion coefficient D</w:t>
      </w:r>
      <w:r w:rsidRPr="004C7B60">
        <w:rPr>
          <w:rFonts w:cs="AdvPS454A42"/>
          <w:sz w:val="24"/>
          <w:szCs w:val="24"/>
          <w:vertAlign w:val="subscript"/>
        </w:rPr>
        <w:t>i</w:t>
      </w:r>
      <w:r w:rsidRPr="004C7B60">
        <w:rPr>
          <w:rFonts w:cs="AdvPS454A42"/>
          <w:sz w:val="24"/>
          <w:szCs w:val="24"/>
        </w:rPr>
        <w:t xml:space="preserve"> and concentration c</w:t>
      </w:r>
      <w:r w:rsidRPr="004C7B60">
        <w:rPr>
          <w:rFonts w:cs="AdvPS454A42"/>
          <w:sz w:val="24"/>
          <w:szCs w:val="24"/>
          <w:vertAlign w:val="subscript"/>
        </w:rPr>
        <w:t>i</w:t>
      </w:r>
      <w:r w:rsidRPr="004C7B60">
        <w:rPr>
          <w:rFonts w:cs="AdvPS454A42"/>
          <w:sz w:val="24"/>
          <w:szCs w:val="24"/>
        </w:rPr>
        <w:t xml:space="preserve">. Full integration of Equation (1) with temperature independent </w:t>
      </w:r>
      <w:proofErr w:type="spellStart"/>
      <w:r w:rsidRPr="004C7B60">
        <w:rPr>
          <w:rFonts w:cs="AdvPS454A42"/>
          <w:sz w:val="24"/>
          <w:szCs w:val="24"/>
        </w:rPr>
        <w:t>DTi</w:t>
      </w:r>
      <w:proofErr w:type="spellEnd"/>
      <w:r w:rsidRPr="004C7B60">
        <w:rPr>
          <w:rFonts w:cs="AdvPS454A42"/>
          <w:sz w:val="24"/>
          <w:szCs w:val="24"/>
        </w:rPr>
        <w:t xml:space="preserve"> and Di would yield a steady state concentration of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rPr>
          <w:rFonts w:cs="AdvPS454A42"/>
          <w:i/>
          <w:sz w:val="24"/>
          <w:szCs w:val="24"/>
        </w:rPr>
      </w:pPr>
      <w:proofErr w:type="spellStart"/>
      <w:proofErr w:type="gramStart"/>
      <w:r w:rsidRPr="004C7B60">
        <w:rPr>
          <w:rFonts w:cs="AdvPS454A42"/>
          <w:i/>
          <w:sz w:val="24"/>
          <w:szCs w:val="24"/>
        </w:rPr>
        <w:t>c</w:t>
      </w:r>
      <w:r w:rsidRPr="004C7B60">
        <w:rPr>
          <w:rFonts w:cs="AdvPS454A42"/>
          <w:i/>
          <w:sz w:val="24"/>
          <w:szCs w:val="24"/>
          <w:vertAlign w:val="subscript"/>
        </w:rPr>
        <w:t>Ti</w:t>
      </w:r>
      <w:proofErr w:type="spellEnd"/>
      <w:proofErr w:type="gramEnd"/>
      <w:r w:rsidRPr="004C7B60">
        <w:rPr>
          <w:rFonts w:cs="AdvPS454A42"/>
          <w:i/>
          <w:sz w:val="24"/>
          <w:szCs w:val="24"/>
        </w:rPr>
        <w:t xml:space="preserve"> </w:t>
      </w:r>
      <w:r w:rsidRPr="004C7B60">
        <w:rPr>
          <w:rFonts w:cs="AdvP7DED"/>
          <w:i/>
          <w:sz w:val="24"/>
          <w:szCs w:val="24"/>
        </w:rPr>
        <w:t>=</w:t>
      </w:r>
      <w:r w:rsidRPr="004C7B60">
        <w:rPr>
          <w:rFonts w:cs="AdvPS454A42"/>
          <w:i/>
          <w:sz w:val="24"/>
          <w:szCs w:val="24"/>
        </w:rPr>
        <w:t>c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r w:rsidRPr="004C7B60">
        <w:rPr>
          <w:rFonts w:cs="AdvPS454A42"/>
          <w:i/>
          <w:sz w:val="24"/>
          <w:szCs w:val="24"/>
        </w:rPr>
        <w:t xml:space="preserve"> </w:t>
      </w:r>
      <w:proofErr w:type="spellStart"/>
      <w:r w:rsidRPr="004C7B60">
        <w:rPr>
          <w:rFonts w:cs="AdvPS454A42"/>
          <w:i/>
          <w:sz w:val="24"/>
          <w:szCs w:val="24"/>
        </w:rPr>
        <w:t>exp</w:t>
      </w:r>
      <w:proofErr w:type="spellEnd"/>
      <w:r w:rsidRPr="004C7B60">
        <w:rPr>
          <w:rFonts w:cs="AdvPS454A42"/>
          <w:i/>
          <w:sz w:val="24"/>
          <w:szCs w:val="24"/>
        </w:rPr>
        <w:t xml:space="preserve"> ( </w:t>
      </w:r>
      <w:r w:rsidRPr="004C7B60">
        <w:rPr>
          <w:rFonts w:cs="AdvPSSym"/>
          <w:i/>
          <w:sz w:val="24"/>
          <w:szCs w:val="24"/>
        </w:rPr>
        <w:t xml:space="preserve">- </w:t>
      </w:r>
      <w:proofErr w:type="spellStart"/>
      <w:r w:rsidRPr="004C7B60">
        <w:rPr>
          <w:rFonts w:cs="AdvPS454A42"/>
          <w:i/>
          <w:sz w:val="24"/>
          <w:szCs w:val="24"/>
        </w:rPr>
        <w:t>S</w:t>
      </w:r>
      <w:r w:rsidRPr="004C7B60">
        <w:rPr>
          <w:rFonts w:cs="AdvPS454A42"/>
          <w:i/>
          <w:sz w:val="24"/>
          <w:szCs w:val="24"/>
          <w:vertAlign w:val="subscript"/>
        </w:rPr>
        <w:t>Ti</w:t>
      </w:r>
      <w:r w:rsidRPr="004C7B60">
        <w:rPr>
          <w:rFonts w:cs="AdvPS454A42"/>
          <w:i/>
          <w:sz w:val="24"/>
          <w:szCs w:val="24"/>
        </w:rPr>
        <w:t>dT</w:t>
      </w:r>
      <w:proofErr w:type="spellEnd"/>
      <w:r w:rsidRPr="004C7B60">
        <w:rPr>
          <w:rFonts w:cs="AdvPS454A42"/>
          <w:i/>
          <w:sz w:val="24"/>
          <w:szCs w:val="24"/>
        </w:rPr>
        <w:t>)                                                                                                                                       (2)</w:t>
      </w:r>
    </w:p>
    <w:p w:rsidR="004C7B60" w:rsidRPr="004C7B60" w:rsidRDefault="004C7B60" w:rsidP="004C7B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4C7B60">
        <w:rPr>
          <w:rFonts w:cs="AdvPS454A42"/>
          <w:sz w:val="24"/>
          <w:szCs w:val="24"/>
        </w:rPr>
        <w:t>at</w:t>
      </w:r>
      <w:proofErr w:type="gramEnd"/>
      <w:r w:rsidRPr="004C7B60">
        <w:rPr>
          <w:rFonts w:cs="AdvPS454A42"/>
          <w:sz w:val="24"/>
          <w:szCs w:val="24"/>
        </w:rPr>
        <w:t xml:space="preserve"> the position where the temperature is increased by </w:t>
      </w:r>
      <w:proofErr w:type="spellStart"/>
      <w:r w:rsidRPr="004C7B60">
        <w:rPr>
          <w:rFonts w:cs="AdvPS454A42"/>
          <w:sz w:val="24"/>
          <w:szCs w:val="24"/>
        </w:rPr>
        <w:t>dT</w:t>
      </w:r>
      <w:proofErr w:type="spellEnd"/>
      <w:r w:rsidRPr="004C7B60">
        <w:rPr>
          <w:rFonts w:cs="AdvPS454A42"/>
          <w:sz w:val="24"/>
          <w:szCs w:val="24"/>
        </w:rPr>
        <w:t xml:space="preserve"> above ambient temperature level. The </w:t>
      </w:r>
      <w:proofErr w:type="spellStart"/>
      <w:r w:rsidRPr="004C7B60">
        <w:rPr>
          <w:rFonts w:cs="AdvPS454A42"/>
          <w:sz w:val="24"/>
          <w:szCs w:val="24"/>
        </w:rPr>
        <w:t>Soret</w:t>
      </w:r>
      <w:proofErr w:type="spellEnd"/>
      <w:r w:rsidRPr="004C7B60">
        <w:rPr>
          <w:rFonts w:cs="AdvPS454A42"/>
          <w:sz w:val="24"/>
          <w:szCs w:val="24"/>
        </w:rPr>
        <w:t xml:space="preserve"> coefficient </w:t>
      </w:r>
      <w:proofErr w:type="spellStart"/>
      <w:r w:rsidRPr="004C7B60">
        <w:rPr>
          <w:rFonts w:cs="AdvPS454A42"/>
          <w:sz w:val="24"/>
          <w:szCs w:val="24"/>
        </w:rPr>
        <w:t>S</w:t>
      </w:r>
      <w:r w:rsidRPr="004C7B60">
        <w:rPr>
          <w:rFonts w:cs="AdvPS454A42"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sz w:val="24"/>
          <w:szCs w:val="24"/>
        </w:rPr>
        <w:t xml:space="preserve"> is defined by the ratio </w:t>
      </w:r>
      <w:proofErr w:type="spellStart"/>
      <w:r w:rsidRPr="004C7B60">
        <w:rPr>
          <w:rFonts w:cs="AdvPS454A42"/>
          <w:i/>
          <w:sz w:val="24"/>
          <w:szCs w:val="24"/>
        </w:rPr>
        <w:t>S</w:t>
      </w:r>
      <w:r w:rsidRPr="004C7B60">
        <w:rPr>
          <w:rFonts w:cs="AdvPS454A42"/>
          <w:i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i/>
          <w:sz w:val="24"/>
          <w:szCs w:val="24"/>
        </w:rPr>
        <w:t xml:space="preserve"> </w:t>
      </w:r>
      <w:r w:rsidRPr="004C7B60">
        <w:rPr>
          <w:rFonts w:cs="AdvPSSym"/>
          <w:i/>
          <w:sz w:val="24"/>
          <w:szCs w:val="24"/>
        </w:rPr>
        <w:t xml:space="preserve">= </w:t>
      </w:r>
      <w:proofErr w:type="spellStart"/>
      <w:r w:rsidRPr="004C7B60">
        <w:rPr>
          <w:rFonts w:cs="AdvPS454A42"/>
          <w:i/>
          <w:sz w:val="24"/>
          <w:szCs w:val="24"/>
        </w:rPr>
        <w:t>D</w:t>
      </w:r>
      <w:r w:rsidRPr="004C7B60">
        <w:rPr>
          <w:rFonts w:cs="AdvPS454A42"/>
          <w:i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i/>
          <w:sz w:val="24"/>
          <w:szCs w:val="24"/>
        </w:rPr>
        <w:t>/D</w:t>
      </w:r>
      <w:r w:rsidRPr="004C7B60">
        <w:rPr>
          <w:rFonts w:cs="AdvPS454A42"/>
          <w:i/>
          <w:sz w:val="24"/>
          <w:szCs w:val="24"/>
          <w:vertAlign w:val="subscript"/>
        </w:rPr>
        <w:t>i</w:t>
      </w:r>
      <w:r w:rsidRPr="004C7B60">
        <w:rPr>
          <w:rFonts w:cs="AdvPS454A42"/>
          <w:sz w:val="24"/>
          <w:szCs w:val="24"/>
        </w:rPr>
        <w:t xml:space="preserve"> of mobility over the diffusion coefficient Di. Typically, the concentration </w:t>
      </w:r>
      <w:proofErr w:type="spellStart"/>
      <w:r w:rsidRPr="004C7B60">
        <w:rPr>
          <w:rFonts w:cs="AdvPS454A42"/>
          <w:sz w:val="24"/>
          <w:szCs w:val="24"/>
        </w:rPr>
        <w:t>c</w:t>
      </w:r>
      <w:r w:rsidRPr="004C7B60">
        <w:rPr>
          <w:rFonts w:cs="AdvPS454A42"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sz w:val="24"/>
          <w:szCs w:val="24"/>
        </w:rPr>
        <w:t xml:space="preserve"> is depleted and lower than the initial concentration c</w:t>
      </w:r>
      <w:r w:rsidRPr="004C7B60">
        <w:rPr>
          <w:rFonts w:cs="AdvPS454A42"/>
          <w:sz w:val="24"/>
          <w:szCs w:val="24"/>
          <w:vertAlign w:val="subscript"/>
        </w:rPr>
        <w:t>i</w:t>
      </w:r>
      <w:r w:rsidRPr="004C7B60">
        <w:rPr>
          <w:rFonts w:cs="AdvPS454A42"/>
          <w:sz w:val="24"/>
          <w:szCs w:val="24"/>
        </w:rPr>
        <w:t xml:space="preserve">. In other words, the </w:t>
      </w:r>
      <w:proofErr w:type="spellStart"/>
      <w:r w:rsidRPr="004C7B60">
        <w:rPr>
          <w:rFonts w:cs="AdvPS454A42"/>
          <w:sz w:val="24"/>
          <w:szCs w:val="24"/>
        </w:rPr>
        <w:t>thermophoretic</w:t>
      </w:r>
      <w:proofErr w:type="spellEnd"/>
      <w:r w:rsidRPr="004C7B60">
        <w:rPr>
          <w:rFonts w:cs="AdvPS454A42"/>
          <w:sz w:val="24"/>
          <w:szCs w:val="24"/>
        </w:rPr>
        <w:t xml:space="preserve"> mobility </w:t>
      </w:r>
      <w:proofErr w:type="spellStart"/>
      <w:r w:rsidRPr="004C7B60">
        <w:rPr>
          <w:rFonts w:cs="AdvPS454A42"/>
          <w:sz w:val="24"/>
          <w:szCs w:val="24"/>
        </w:rPr>
        <w:t>D</w:t>
      </w:r>
      <w:r w:rsidRPr="004C7B60">
        <w:rPr>
          <w:rFonts w:cs="AdvPS454A42"/>
          <w:sz w:val="24"/>
          <w:szCs w:val="24"/>
          <w:vertAlign w:val="subscript"/>
        </w:rPr>
        <w:t>Ti</w:t>
      </w:r>
      <w:proofErr w:type="spellEnd"/>
      <w:r w:rsidRPr="004C7B60">
        <w:rPr>
          <w:rFonts w:cs="AdvPS454A42"/>
          <w:sz w:val="24"/>
          <w:szCs w:val="24"/>
        </w:rPr>
        <w:t xml:space="preserve"> and the </w:t>
      </w:r>
      <w:proofErr w:type="spellStart"/>
      <w:r w:rsidRPr="004C7B60">
        <w:rPr>
          <w:rFonts w:cs="AdvPS454A42"/>
          <w:sz w:val="24"/>
          <w:szCs w:val="24"/>
        </w:rPr>
        <w:t>Soret</w:t>
      </w:r>
      <w:proofErr w:type="spellEnd"/>
      <w:r w:rsidRPr="004C7B60">
        <w:rPr>
          <w:rFonts w:cs="AdvPS454A42"/>
          <w:sz w:val="24"/>
          <w:szCs w:val="24"/>
        </w:rPr>
        <w:t xml:space="preserve"> coefficient are typically positive. However, depending on the properties of a molecule, also an increase of concentration with respect to the initial concentration is observed for biomolecules. In general, the </w:t>
      </w:r>
      <w:proofErr w:type="spellStart"/>
      <w:r w:rsidRPr="004C7B60">
        <w:rPr>
          <w:rFonts w:cs="AdvPS454A42"/>
          <w:sz w:val="24"/>
          <w:szCs w:val="24"/>
        </w:rPr>
        <w:t>Soret</w:t>
      </w:r>
      <w:proofErr w:type="spellEnd"/>
      <w:r w:rsidRPr="004C7B60">
        <w:rPr>
          <w:rFonts w:cs="AdvPS454A42"/>
          <w:sz w:val="24"/>
          <w:szCs w:val="24"/>
        </w:rPr>
        <w:t xml:space="preserve"> coefficient depends on the size of a molecule, its charge, but also on its interaction with the solvent (</w:t>
      </w:r>
      <w:r w:rsidRPr="004C7B60">
        <w:rPr>
          <w:rFonts w:cs="AdvPS4BCE73"/>
          <w:sz w:val="24"/>
          <w:szCs w:val="24"/>
        </w:rPr>
        <w:t>i.e.</w:t>
      </w:r>
      <w:r w:rsidRPr="004C7B60">
        <w:rPr>
          <w:rFonts w:cs="AdvPS454A42"/>
          <w:sz w:val="24"/>
          <w:szCs w:val="24"/>
        </w:rPr>
        <w:t>, conformation). Since at least one of these parameters is changed by a binding event, a wide range of molecular interactions can be analyzed.</w:t>
      </w:r>
    </w:p>
    <w:p w:rsidR="004C7B60" w:rsidRDefault="004C7B60"/>
    <w:sectPr w:rsidR="004C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8070000" w:usb2="00000010" w:usb3="00000000" w:csb0="00020009" w:csb1="00000000"/>
  </w:font>
  <w:font w:name="AdvGulliv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54A4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4BCE7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i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y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3D0CF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7D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60"/>
    <w:rsid w:val="00447A8B"/>
    <w:rsid w:val="004C7B60"/>
    <w:rsid w:val="00975628"/>
    <w:rsid w:val="00A0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 Lab</dc:creator>
  <cp:lastModifiedBy>PMC Lab</cp:lastModifiedBy>
  <cp:revision>1</cp:revision>
  <dcterms:created xsi:type="dcterms:W3CDTF">2017-04-17T20:52:00Z</dcterms:created>
  <dcterms:modified xsi:type="dcterms:W3CDTF">2017-04-17T20:54:00Z</dcterms:modified>
</cp:coreProperties>
</file>