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DCD" w:rsidRDefault="00495DCD" w:rsidP="0015261A">
      <w:pPr>
        <w:pStyle w:val="NoSpacing"/>
        <w:jc w:val="center"/>
        <w:rPr>
          <w:sz w:val="24"/>
          <w:szCs w:val="24"/>
        </w:rPr>
      </w:pPr>
      <w:r w:rsidRPr="00495DCD">
        <w:rPr>
          <w:sz w:val="24"/>
          <w:szCs w:val="24"/>
        </w:rPr>
        <w:t>Mechanism of Inhibit</w:t>
      </w:r>
      <w:bookmarkStart w:id="0" w:name="_GoBack"/>
      <w:bookmarkEnd w:id="0"/>
      <w:r w:rsidRPr="00495DCD">
        <w:rPr>
          <w:sz w:val="24"/>
          <w:szCs w:val="24"/>
        </w:rPr>
        <w:t xml:space="preserve">ion of the Human </w:t>
      </w:r>
      <w:proofErr w:type="spellStart"/>
      <w:r w:rsidRPr="00495DCD">
        <w:rPr>
          <w:sz w:val="24"/>
          <w:szCs w:val="24"/>
        </w:rPr>
        <w:t>Sirtuin</w:t>
      </w:r>
      <w:proofErr w:type="spellEnd"/>
      <w:r w:rsidRPr="00495DCD">
        <w:rPr>
          <w:sz w:val="24"/>
          <w:szCs w:val="24"/>
        </w:rPr>
        <w:t xml:space="preserve"> Enzyme SIRT3 by </w:t>
      </w:r>
      <w:proofErr w:type="spellStart"/>
      <w:r w:rsidRPr="00495DCD">
        <w:rPr>
          <w:sz w:val="24"/>
          <w:szCs w:val="24"/>
        </w:rPr>
        <w:t>Nicotinamide</w:t>
      </w:r>
      <w:proofErr w:type="spellEnd"/>
      <w:r w:rsidRPr="00495DCD">
        <w:rPr>
          <w:sz w:val="24"/>
          <w:szCs w:val="24"/>
        </w:rPr>
        <w:t>:</w:t>
      </w:r>
    </w:p>
    <w:p w:rsidR="0015261A" w:rsidRDefault="00495DCD" w:rsidP="0015261A">
      <w:pPr>
        <w:pStyle w:val="NoSpacing"/>
        <w:jc w:val="center"/>
        <w:rPr>
          <w:sz w:val="24"/>
          <w:szCs w:val="24"/>
        </w:rPr>
      </w:pPr>
      <w:r w:rsidRPr="00495DCD">
        <w:rPr>
          <w:sz w:val="24"/>
          <w:szCs w:val="24"/>
        </w:rPr>
        <w:t xml:space="preserve">Computational and Experimental </w:t>
      </w:r>
      <w:r w:rsidR="00C41A99" w:rsidRPr="00495DCD">
        <w:rPr>
          <w:sz w:val="24"/>
          <w:szCs w:val="24"/>
        </w:rPr>
        <w:t xml:space="preserve">Studies </w:t>
      </w:r>
      <w:r>
        <w:rPr>
          <w:sz w:val="24"/>
          <w:szCs w:val="24"/>
        </w:rPr>
        <w:t>(</w:t>
      </w:r>
      <w:r w:rsidRPr="00495DCD">
        <w:rPr>
          <w:sz w:val="24"/>
          <w:szCs w:val="24"/>
        </w:rPr>
        <w:t>PONE-D-14-20527</w:t>
      </w:r>
      <w:r>
        <w:rPr>
          <w:sz w:val="24"/>
          <w:szCs w:val="24"/>
        </w:rPr>
        <w:t>)</w:t>
      </w:r>
      <w:r w:rsidR="0015261A" w:rsidRPr="0029372A">
        <w:rPr>
          <w:rFonts w:ascii="Verdana" w:eastAsia="Times New Roman" w:hAnsi="Verdana" w:cs="Times New Roman"/>
          <w:color w:val="000033"/>
          <w:sz w:val="17"/>
          <w:szCs w:val="17"/>
        </w:rPr>
        <w:br/>
      </w:r>
    </w:p>
    <w:p w:rsidR="0015261A" w:rsidRPr="0015261A" w:rsidRDefault="0015261A" w:rsidP="0015261A">
      <w:pPr>
        <w:pStyle w:val="NoSpacing"/>
      </w:pPr>
      <w:r w:rsidRPr="0015261A">
        <w:t>PLOS ONE</w:t>
      </w:r>
    </w:p>
    <w:p w:rsidR="0015261A" w:rsidRPr="0015261A" w:rsidRDefault="0015261A" w:rsidP="0015261A">
      <w:pPr>
        <w:pStyle w:val="NoSpacing"/>
      </w:pPr>
      <w:r w:rsidRPr="0015261A">
        <w:t>Academic Editor</w:t>
      </w:r>
    </w:p>
    <w:p w:rsidR="0015261A" w:rsidRDefault="0015261A" w:rsidP="0015261A">
      <w:pPr>
        <w:pStyle w:val="NoSpacing"/>
      </w:pPr>
      <w:r w:rsidRPr="0015261A">
        <w:t xml:space="preserve">Prof. </w:t>
      </w:r>
      <w:proofErr w:type="spellStart"/>
      <w:r w:rsidRPr="0015261A">
        <w:rPr>
          <w:rFonts w:eastAsia="Times New Roman" w:cs="Times New Roman"/>
          <w:color w:val="000033"/>
        </w:rPr>
        <w:t>Pratul</w:t>
      </w:r>
      <w:proofErr w:type="spellEnd"/>
      <w:r w:rsidRPr="0015261A">
        <w:rPr>
          <w:rFonts w:eastAsia="Times New Roman" w:cs="Times New Roman"/>
          <w:color w:val="000033"/>
        </w:rPr>
        <w:t xml:space="preserve"> K. </w:t>
      </w:r>
      <w:proofErr w:type="spellStart"/>
      <w:r w:rsidRPr="0015261A">
        <w:t>Agarwal</w:t>
      </w:r>
      <w:proofErr w:type="spellEnd"/>
    </w:p>
    <w:p w:rsidR="0015261A" w:rsidRPr="0015261A" w:rsidRDefault="0015261A" w:rsidP="0015261A">
      <w:pPr>
        <w:pStyle w:val="NoSpacing"/>
      </w:pPr>
    </w:p>
    <w:p w:rsidR="00ED2DDD" w:rsidRDefault="00ED2DDD" w:rsidP="00ED2DDD">
      <w:pPr>
        <w:pStyle w:val="NoSpacing"/>
        <w:jc w:val="both"/>
        <w:rPr>
          <w:color w:val="0070C0"/>
        </w:rPr>
      </w:pPr>
      <w:r w:rsidRPr="00ED2DDD">
        <w:rPr>
          <w:color w:val="0070C0"/>
        </w:rPr>
        <w:t xml:space="preserve">The inhibition of enzyme activity is one of the major regulatory devices of living cells, and one of the most important diagnostic procedures of the enzymologist. Inhibition studies provide important information about the specificity of an enzyme, the physical and chemical architecture of the active site, and the kinetic mechanism of the reaction. Three </w:t>
      </w:r>
      <w:r w:rsidR="004C2916">
        <w:rPr>
          <w:color w:val="0070C0"/>
        </w:rPr>
        <w:t>simple</w:t>
      </w:r>
      <w:r w:rsidRPr="00ED2DDD">
        <w:rPr>
          <w:color w:val="0070C0"/>
        </w:rPr>
        <w:t xml:space="preserve"> modes of enzyme inhibition </w:t>
      </w:r>
      <w:r w:rsidRPr="00ED2DDD">
        <w:rPr>
          <w:color w:val="0070C0"/>
        </w:rPr>
        <w:t>are defined as follows</w:t>
      </w:r>
      <w:r w:rsidRPr="00ED2DDD">
        <w:rPr>
          <w:color w:val="0070C0"/>
        </w:rPr>
        <w:t xml:space="preserve">: (A) </w:t>
      </w:r>
      <w:r w:rsidRPr="00ED2DDD">
        <w:rPr>
          <w:i/>
          <w:iCs/>
          <w:color w:val="0070C0"/>
        </w:rPr>
        <w:t xml:space="preserve">Competitive inhibition: </w:t>
      </w:r>
      <w:r w:rsidRPr="00ED2DDD">
        <w:rPr>
          <w:iCs/>
          <w:color w:val="0070C0"/>
        </w:rPr>
        <w:t xml:space="preserve">inhibitors </w:t>
      </w:r>
      <w:r w:rsidRPr="00ED2DDD">
        <w:rPr>
          <w:color w:val="0070C0"/>
        </w:rPr>
        <w:t xml:space="preserve">bind exclusively to the free enzyme form. (B) </w:t>
      </w:r>
      <w:r w:rsidRPr="00ED2DDD">
        <w:rPr>
          <w:i/>
          <w:iCs/>
          <w:color w:val="0070C0"/>
        </w:rPr>
        <w:t>Noncompetitive inhibition</w:t>
      </w:r>
      <w:r w:rsidRPr="00ED2DDD">
        <w:rPr>
          <w:color w:val="0070C0"/>
        </w:rPr>
        <w:t>: inhibitors bind with some affinity to both the free enzyme (E) and to the enzyme-substrate complex (ES complex).</w:t>
      </w:r>
      <w:r w:rsidR="00057C51">
        <w:rPr>
          <w:color w:val="0070C0"/>
        </w:rPr>
        <w:t xml:space="preserve"> </w:t>
      </w:r>
      <w:r w:rsidRPr="00ED2DDD">
        <w:rPr>
          <w:color w:val="0070C0"/>
        </w:rPr>
        <w:t xml:space="preserve">When the inhibitor binds to E and ES with the same affinity, this is called pure noncompetitive inhibition. (C) </w:t>
      </w:r>
      <w:r w:rsidRPr="00ED2DDD">
        <w:rPr>
          <w:i/>
          <w:color w:val="0070C0"/>
        </w:rPr>
        <w:t>U</w:t>
      </w:r>
      <w:r w:rsidRPr="00ED2DDD">
        <w:rPr>
          <w:i/>
          <w:iCs/>
          <w:color w:val="0070C0"/>
        </w:rPr>
        <w:t xml:space="preserve">ncompetitive inhibition: </w:t>
      </w:r>
      <w:r w:rsidRPr="00ED2DDD">
        <w:rPr>
          <w:iCs/>
          <w:color w:val="0070C0"/>
        </w:rPr>
        <w:t xml:space="preserve">inhibitors </w:t>
      </w:r>
      <w:r w:rsidRPr="00ED2DDD">
        <w:rPr>
          <w:color w:val="0070C0"/>
        </w:rPr>
        <w:t xml:space="preserve">bind exclusively to the ES complex or subsequent species. </w:t>
      </w:r>
    </w:p>
    <w:p w:rsidR="002A1B29" w:rsidRDefault="002A1B29" w:rsidP="00ED2DDD">
      <w:pPr>
        <w:pStyle w:val="NoSpacing"/>
        <w:jc w:val="both"/>
        <w:rPr>
          <w:color w:val="0070C0"/>
        </w:rPr>
      </w:pPr>
    </w:p>
    <w:p w:rsidR="00057C51" w:rsidRPr="00057C51" w:rsidRDefault="00057C51" w:rsidP="00ED2DDD">
      <w:pPr>
        <w:pStyle w:val="NoSpacing"/>
        <w:jc w:val="both"/>
        <w:rPr>
          <w:color w:val="0070C0"/>
        </w:rPr>
      </w:pPr>
      <w:r>
        <w:rPr>
          <w:color w:val="0070C0"/>
        </w:rPr>
        <w:t>In the current manuscript</w:t>
      </w:r>
      <w:r w:rsidR="002A1B29">
        <w:rPr>
          <w:color w:val="0070C0"/>
        </w:rPr>
        <w:t>,</w:t>
      </w:r>
      <w:r>
        <w:rPr>
          <w:color w:val="0070C0"/>
        </w:rPr>
        <w:t xml:space="preserve"> the authors have discussed</w:t>
      </w:r>
      <w:r w:rsidRPr="00057C51">
        <w:rPr>
          <w:color w:val="0070C0"/>
        </w:rPr>
        <w:t xml:space="preserve"> </w:t>
      </w:r>
      <w:r w:rsidRPr="00057C51">
        <w:rPr>
          <w:rFonts w:cs="Arial"/>
          <w:color w:val="0070C0"/>
        </w:rPr>
        <w:t xml:space="preserve">a generalized kinetic model for NAM inhibition of </w:t>
      </w:r>
      <w:proofErr w:type="spellStart"/>
      <w:r w:rsidRPr="00057C51">
        <w:rPr>
          <w:rFonts w:cs="Arial"/>
          <w:color w:val="0070C0"/>
        </w:rPr>
        <w:t>sirtuins</w:t>
      </w:r>
      <w:proofErr w:type="spellEnd"/>
      <w:r w:rsidRPr="00057C51">
        <w:rPr>
          <w:rFonts w:cs="Arial"/>
          <w:color w:val="0070C0"/>
        </w:rPr>
        <w:t>, which does not oversimplify into noncompetitive or competitive</w:t>
      </w:r>
      <w:r w:rsidR="002A1B29">
        <w:rPr>
          <w:rFonts w:cs="Arial"/>
          <w:color w:val="0070C0"/>
        </w:rPr>
        <w:t xml:space="preserve"> models</w:t>
      </w:r>
      <w:r w:rsidR="008D0536">
        <w:rPr>
          <w:rFonts w:cs="Arial"/>
          <w:color w:val="0070C0"/>
        </w:rPr>
        <w:t xml:space="preserve">, so-called mixed noncompetitive inhibition. </w:t>
      </w:r>
      <w:r w:rsidR="0015261A">
        <w:rPr>
          <w:rFonts w:cs="Arial"/>
          <w:color w:val="0070C0"/>
        </w:rPr>
        <w:t>T</w:t>
      </w:r>
      <w:r w:rsidR="008D0536">
        <w:rPr>
          <w:rFonts w:cs="Arial"/>
          <w:color w:val="0070C0"/>
        </w:rPr>
        <w:t>his system</w:t>
      </w:r>
      <w:r w:rsidR="0015261A">
        <w:rPr>
          <w:rFonts w:cs="Arial"/>
          <w:color w:val="0070C0"/>
        </w:rPr>
        <w:t xml:space="preserve"> </w:t>
      </w:r>
      <w:r w:rsidR="0015261A">
        <w:rPr>
          <w:rFonts w:cs="Arial"/>
          <w:color w:val="0070C0"/>
        </w:rPr>
        <w:t>may be considered a mixture of partial competitive inhibition and pure noncompetitive inhibition</w:t>
      </w:r>
      <w:r w:rsidR="0015261A">
        <w:rPr>
          <w:rFonts w:cs="Arial"/>
          <w:color w:val="0070C0"/>
        </w:rPr>
        <w:t xml:space="preserve">. When </w:t>
      </w:r>
      <w:r w:rsidR="008D0536">
        <w:rPr>
          <w:rFonts w:cs="Arial"/>
          <w:color w:val="0070C0"/>
        </w:rPr>
        <w:t>EI has a lower affinity than E for S</w:t>
      </w:r>
      <w:r w:rsidR="0015261A">
        <w:rPr>
          <w:rFonts w:cs="Arial"/>
          <w:color w:val="0070C0"/>
        </w:rPr>
        <w:t xml:space="preserve"> (</w:t>
      </w:r>
      <w:r w:rsidR="0015261A" w:rsidRPr="0015261A">
        <w:rPr>
          <w:rFonts w:cs="Arial"/>
          <w:i/>
          <w:color w:val="0070C0"/>
        </w:rPr>
        <w:t>K</w:t>
      </w:r>
      <w:r w:rsidR="0015261A" w:rsidRPr="0015261A">
        <w:rPr>
          <w:rFonts w:cs="Arial"/>
          <w:i/>
          <w:color w:val="0070C0"/>
          <w:vertAlign w:val="subscript"/>
        </w:rPr>
        <w:t>S</w:t>
      </w:r>
      <w:r w:rsidR="0015261A" w:rsidRPr="0015261A">
        <w:rPr>
          <w:rFonts w:cs="Arial"/>
          <w:i/>
          <w:color w:val="0070C0"/>
        </w:rPr>
        <w:t>&gt;&gt;</w:t>
      </w:r>
      <w:r w:rsidR="0015261A" w:rsidRPr="0015261A">
        <w:rPr>
          <w:rFonts w:ascii="Symbol" w:hAnsi="Symbol" w:cs="Arial"/>
          <w:i/>
          <w:color w:val="0070C0"/>
        </w:rPr>
        <w:t></w:t>
      </w:r>
      <w:r w:rsidR="0015261A">
        <w:rPr>
          <w:rFonts w:ascii="Symbol" w:hAnsi="Symbol" w:cs="Arial"/>
          <w:i/>
          <w:color w:val="0070C0"/>
        </w:rPr>
        <w:t></w:t>
      </w:r>
      <w:r w:rsidR="0015261A" w:rsidRPr="0015261A">
        <w:rPr>
          <w:rFonts w:cs="Arial"/>
          <w:i/>
          <w:color w:val="0070C0"/>
        </w:rPr>
        <w:t>K</w:t>
      </w:r>
      <w:r w:rsidR="0015261A" w:rsidRPr="0015261A">
        <w:rPr>
          <w:rFonts w:cs="Arial"/>
          <w:i/>
          <w:color w:val="0070C0"/>
          <w:vertAlign w:val="subscript"/>
        </w:rPr>
        <w:t>S</w:t>
      </w:r>
      <w:r w:rsidR="0015261A">
        <w:rPr>
          <w:rFonts w:cs="Arial"/>
          <w:color w:val="0070C0"/>
        </w:rPr>
        <w:t>)</w:t>
      </w:r>
      <w:r w:rsidR="008D0536">
        <w:rPr>
          <w:rFonts w:cs="Arial"/>
          <w:color w:val="0070C0"/>
        </w:rPr>
        <w:t xml:space="preserve"> and</w:t>
      </w:r>
      <w:r w:rsidR="0015261A">
        <w:rPr>
          <w:rFonts w:cs="Arial"/>
          <w:color w:val="0070C0"/>
        </w:rPr>
        <w:t xml:space="preserve"> ESI complex is nonproductive, </w:t>
      </w:r>
      <w:r w:rsidR="0015261A" w:rsidRPr="002A1B29">
        <w:rPr>
          <w:color w:val="0070C0"/>
        </w:rPr>
        <w:t>the mixed noncompetitive inhibition becomes c</w:t>
      </w:r>
      <w:r w:rsidR="0015261A">
        <w:rPr>
          <w:color w:val="0070C0"/>
        </w:rPr>
        <w:t>ompetitive inhibition</w:t>
      </w:r>
      <w:r w:rsidR="0015261A">
        <w:rPr>
          <w:color w:val="0070C0"/>
        </w:rPr>
        <w:t>.</w:t>
      </w:r>
      <w:r w:rsidR="0015261A" w:rsidRPr="002A1B29">
        <w:rPr>
          <w:color w:val="0070C0"/>
        </w:rPr>
        <w:t xml:space="preserve"> </w:t>
      </w:r>
      <w:r w:rsidR="0015261A" w:rsidRPr="002A1B29">
        <w:rPr>
          <w:color w:val="0070C0"/>
        </w:rPr>
        <w:t>When the inhibitor binds to E and ES with the same affinity</w:t>
      </w:r>
      <w:r w:rsidR="0015261A">
        <w:rPr>
          <w:color w:val="0070C0"/>
        </w:rPr>
        <w:t xml:space="preserve"> (</w:t>
      </w:r>
      <w:r w:rsidR="0015261A" w:rsidRPr="0015261A">
        <w:rPr>
          <w:rFonts w:cs="Arial"/>
          <w:i/>
          <w:color w:val="0070C0"/>
        </w:rPr>
        <w:t>K</w:t>
      </w:r>
      <w:r w:rsidR="0015261A" w:rsidRPr="0015261A">
        <w:rPr>
          <w:rFonts w:cs="Arial"/>
          <w:i/>
          <w:color w:val="0070C0"/>
          <w:vertAlign w:val="subscript"/>
        </w:rPr>
        <w:t>i</w:t>
      </w:r>
      <w:r w:rsidR="0015261A" w:rsidRPr="0015261A">
        <w:rPr>
          <w:rFonts w:cs="Arial"/>
          <w:i/>
          <w:color w:val="0070C0"/>
        </w:rPr>
        <w:t>&gt;&gt;</w:t>
      </w:r>
      <w:r w:rsidR="0015261A" w:rsidRPr="0015261A">
        <w:rPr>
          <w:rFonts w:ascii="Symbol" w:hAnsi="Symbol" w:cs="Arial"/>
          <w:i/>
          <w:color w:val="0070C0"/>
        </w:rPr>
        <w:t></w:t>
      </w:r>
      <w:r w:rsidR="0015261A">
        <w:rPr>
          <w:rFonts w:ascii="Symbol" w:hAnsi="Symbol" w:cs="Arial"/>
          <w:i/>
          <w:color w:val="0070C0"/>
        </w:rPr>
        <w:t></w:t>
      </w:r>
      <w:r w:rsidR="0015261A" w:rsidRPr="0015261A">
        <w:rPr>
          <w:rFonts w:cs="Arial"/>
          <w:i/>
          <w:color w:val="0070C0"/>
        </w:rPr>
        <w:t>K</w:t>
      </w:r>
      <w:r w:rsidR="0015261A" w:rsidRPr="0015261A">
        <w:rPr>
          <w:rFonts w:cs="Arial"/>
          <w:i/>
          <w:color w:val="0070C0"/>
          <w:vertAlign w:val="subscript"/>
        </w:rPr>
        <w:t>i</w:t>
      </w:r>
      <w:r w:rsidR="0015261A">
        <w:rPr>
          <w:rFonts w:cs="Arial"/>
          <w:i/>
          <w:color w:val="0070C0"/>
        </w:rPr>
        <w:t>)</w:t>
      </w:r>
      <w:r w:rsidR="0015261A" w:rsidRPr="002A1B29">
        <w:rPr>
          <w:color w:val="0070C0"/>
        </w:rPr>
        <w:t xml:space="preserve">, the mixed noncompetitive inhibition </w:t>
      </w:r>
      <w:r w:rsidR="0015261A">
        <w:rPr>
          <w:color w:val="0070C0"/>
        </w:rPr>
        <w:t xml:space="preserve">behaves as a </w:t>
      </w:r>
      <w:r w:rsidR="0015261A" w:rsidRPr="002A1B29">
        <w:rPr>
          <w:color w:val="0070C0"/>
        </w:rPr>
        <w:t xml:space="preserve">pure noncompetitive inhibition, where </w:t>
      </w:r>
      <w:r w:rsidR="0015261A" w:rsidRPr="002A1B29">
        <w:rPr>
          <w:i/>
          <w:color w:val="0070C0"/>
        </w:rPr>
        <w:t>K</w:t>
      </w:r>
      <w:r w:rsidR="0015261A" w:rsidRPr="002A1B29">
        <w:rPr>
          <w:i/>
          <w:color w:val="0070C0"/>
          <w:vertAlign w:val="subscript"/>
        </w:rPr>
        <w:t xml:space="preserve">S </w:t>
      </w:r>
      <w:r w:rsidR="0015261A" w:rsidRPr="002A1B29">
        <w:rPr>
          <w:color w:val="0070C0"/>
        </w:rPr>
        <w:t xml:space="preserve">and </w:t>
      </w:r>
      <w:r w:rsidR="0015261A" w:rsidRPr="0015261A">
        <w:rPr>
          <w:rFonts w:ascii="Symbol" w:hAnsi="Symbol"/>
          <w:color w:val="0070C0"/>
        </w:rPr>
        <w:t></w:t>
      </w:r>
      <w:r w:rsidR="0015261A" w:rsidRPr="002A1B29">
        <w:rPr>
          <w:i/>
          <w:color w:val="0070C0"/>
        </w:rPr>
        <w:t>K</w:t>
      </w:r>
      <w:r w:rsidR="0015261A" w:rsidRPr="002A1B29">
        <w:rPr>
          <w:i/>
          <w:color w:val="0070C0"/>
          <w:vertAlign w:val="subscript"/>
        </w:rPr>
        <w:t>S</w:t>
      </w:r>
      <w:r w:rsidR="0015261A" w:rsidRPr="002A1B29">
        <w:rPr>
          <w:color w:val="0070C0"/>
        </w:rPr>
        <w:t xml:space="preserve"> are the dissociation constants of the ES and ESI complex respectively</w:t>
      </w:r>
      <w:r w:rsidR="008D0536">
        <w:rPr>
          <w:rFonts w:cs="Arial"/>
          <w:color w:val="0070C0"/>
        </w:rPr>
        <w:t xml:space="preserve"> (Figure below).</w:t>
      </w:r>
    </w:p>
    <w:p w:rsidR="000B11FF" w:rsidRPr="00ED2DDD" w:rsidRDefault="0015261A" w:rsidP="00103983">
      <w:pPr>
        <w:pStyle w:val="NoSpacing"/>
        <w:jc w:val="center"/>
        <w:rPr>
          <w:color w:val="0070C0"/>
        </w:rPr>
      </w:pPr>
      <w:r>
        <w:rPr>
          <w:noProof/>
          <w:color w:val="0070C0"/>
        </w:rPr>
        <w:drawing>
          <wp:inline distT="0" distB="0" distL="0" distR="0">
            <wp:extent cx="4275511" cy="37352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78385" cy="3737749"/>
                    </a:xfrm>
                    <a:prstGeom prst="rect">
                      <a:avLst/>
                    </a:prstGeom>
                    <a:noFill/>
                    <a:ln>
                      <a:noFill/>
                    </a:ln>
                  </pic:spPr>
                </pic:pic>
              </a:graphicData>
            </a:graphic>
          </wp:inline>
        </w:drawing>
      </w:r>
    </w:p>
    <w:p w:rsidR="00495DCD" w:rsidRPr="00495DCD" w:rsidRDefault="00495DCD" w:rsidP="00495DCD">
      <w:pPr>
        <w:pStyle w:val="NoSpacing"/>
        <w:jc w:val="both"/>
        <w:rPr>
          <w:b/>
        </w:rPr>
      </w:pPr>
      <w:r>
        <w:rPr>
          <w:b/>
        </w:rPr>
        <w:lastRenderedPageBreak/>
        <w:t>R</w:t>
      </w:r>
      <w:r w:rsidRPr="00495DCD">
        <w:rPr>
          <w:b/>
        </w:rPr>
        <w:t>eviewer #2</w:t>
      </w:r>
    </w:p>
    <w:p w:rsidR="00495DCD" w:rsidRDefault="00495DCD" w:rsidP="00495DCD">
      <w:pPr>
        <w:pStyle w:val="NoSpacing"/>
        <w:jc w:val="both"/>
      </w:pPr>
      <w:r w:rsidRPr="00495DCD">
        <w:t xml:space="preserve">In the paper Guan et al., describe the mechanism of inhibition of SIRT3 by NAM by utilizing experimental and computational approaches. The conclusion is that unlike in the case of SIRT1, NAM inhibition of SIRT3 is more competitive. </w:t>
      </w:r>
    </w:p>
    <w:p w:rsidR="00495DCD" w:rsidRDefault="00495DCD" w:rsidP="00495DCD">
      <w:pPr>
        <w:pStyle w:val="NoSpacing"/>
        <w:jc w:val="both"/>
      </w:pPr>
      <w:r w:rsidRPr="00495DCD">
        <w:t xml:space="preserve">In general I find the methodologies used and question of interest and importance but I believe that much of the conclusions are based on the experimental data that in the current form is not presented in a manner that supports all the points raised by the Authors. Improving the experimental data might shed more light into the true mechanistic aspect of NAM in inhibiting SIRT3. </w:t>
      </w:r>
    </w:p>
    <w:p w:rsidR="00253295" w:rsidRPr="00253295" w:rsidRDefault="00D55802" w:rsidP="00253295">
      <w:pPr>
        <w:pStyle w:val="NoSpacing"/>
        <w:numPr>
          <w:ilvl w:val="0"/>
          <w:numId w:val="13"/>
        </w:numPr>
        <w:jc w:val="both"/>
        <w:rPr>
          <w:color w:val="0070C0"/>
        </w:rPr>
      </w:pPr>
      <w:r w:rsidRPr="00253295">
        <w:rPr>
          <w:color w:val="0070C0"/>
        </w:rPr>
        <w:t>In the current manuscript, the authors reported the first time that NAM inhibition of human SIRT3 pertain some degrees of competitive behavior</w:t>
      </w:r>
      <w:r w:rsidR="007068E6">
        <w:rPr>
          <w:color w:val="0070C0"/>
        </w:rPr>
        <w:t>.</w:t>
      </w:r>
      <w:r w:rsidRPr="00253295">
        <w:rPr>
          <w:color w:val="0070C0"/>
        </w:rPr>
        <w:t xml:space="preserve"> which can fit into mixed noncompetitive inhibition model</w:t>
      </w:r>
      <w:r w:rsidR="007068E6">
        <w:rPr>
          <w:color w:val="0070C0"/>
        </w:rPr>
        <w:t xml:space="preserve"> (</w:t>
      </w:r>
      <m:oMath>
        <m:f>
          <m:fPr>
            <m:ctrlPr>
              <w:rPr>
                <w:rFonts w:ascii="Cambria Math" w:hAnsi="Cambria Math"/>
                <w:i/>
                <w:noProof/>
                <w:color w:val="0070C0"/>
                <w:sz w:val="24"/>
                <w:szCs w:val="24"/>
              </w:rPr>
            </m:ctrlPr>
          </m:fPr>
          <m:num>
            <m:r>
              <w:rPr>
                <w:rFonts w:ascii="Cambria Math" w:hAnsi="Cambria Math"/>
                <w:noProof/>
                <w:color w:val="0070C0"/>
                <w:sz w:val="24"/>
                <w:szCs w:val="24"/>
              </w:rPr>
              <m:t>v</m:t>
            </m:r>
          </m:num>
          <m:den>
            <m:sSub>
              <m:sSubPr>
                <m:ctrlPr>
                  <w:rPr>
                    <w:rFonts w:ascii="Cambria Math" w:hAnsi="Cambria Math"/>
                    <w:i/>
                    <w:noProof/>
                    <w:color w:val="0070C0"/>
                    <w:sz w:val="24"/>
                    <w:szCs w:val="24"/>
                  </w:rPr>
                </m:ctrlPr>
              </m:sSubPr>
              <m:e>
                <m:r>
                  <w:rPr>
                    <w:rFonts w:ascii="Cambria Math" w:hAnsi="Cambria Math"/>
                    <w:noProof/>
                    <w:color w:val="0070C0"/>
                    <w:sz w:val="24"/>
                    <w:szCs w:val="24"/>
                  </w:rPr>
                  <m:t xml:space="preserve"> v</m:t>
                </m:r>
              </m:e>
              <m:sub>
                <m:r>
                  <w:rPr>
                    <w:rFonts w:ascii="Cambria Math" w:hAnsi="Cambria Math"/>
                    <w:noProof/>
                    <w:color w:val="0070C0"/>
                    <w:sz w:val="24"/>
                    <w:szCs w:val="24"/>
                  </w:rPr>
                  <m:t>max</m:t>
                </m:r>
              </m:sub>
            </m:sSub>
          </m:den>
        </m:f>
        <m:r>
          <w:rPr>
            <w:rFonts w:ascii="Cambria Math" w:hAnsi="Cambria Math"/>
            <w:noProof/>
            <w:color w:val="0070C0"/>
            <w:sz w:val="24"/>
            <w:szCs w:val="24"/>
          </w:rPr>
          <m:t>=</m:t>
        </m:r>
        <m:f>
          <m:fPr>
            <m:ctrlPr>
              <w:rPr>
                <w:rFonts w:ascii="Cambria Math" w:hAnsi="Cambria Math"/>
                <w:i/>
                <w:noProof/>
                <w:color w:val="0070C0"/>
                <w:sz w:val="24"/>
                <w:szCs w:val="24"/>
              </w:rPr>
            </m:ctrlPr>
          </m:fPr>
          <m:num>
            <m:sSup>
              <m:sSupPr>
                <m:ctrlPr>
                  <w:rPr>
                    <w:rFonts w:ascii="Cambria Math" w:hAnsi="Cambria Math"/>
                    <w:i/>
                    <w:noProof/>
                    <w:color w:val="0070C0"/>
                    <w:sz w:val="24"/>
                    <w:szCs w:val="24"/>
                  </w:rPr>
                </m:ctrlPr>
              </m:sSupPr>
              <m:e>
                <m:r>
                  <w:rPr>
                    <w:rFonts w:ascii="Cambria Math" w:hAnsi="Cambria Math"/>
                    <w:noProof/>
                    <w:color w:val="0070C0"/>
                    <w:sz w:val="24"/>
                    <w:szCs w:val="24"/>
                  </w:rPr>
                  <m:t>[NAD</m:t>
                </m:r>
              </m:e>
              <m:sup>
                <m:r>
                  <w:rPr>
                    <w:rFonts w:ascii="Cambria Math" w:hAnsi="Cambria Math"/>
                    <w:noProof/>
                    <w:color w:val="0070C0"/>
                    <w:sz w:val="24"/>
                    <w:szCs w:val="24"/>
                  </w:rPr>
                  <m:t>+</m:t>
                </m:r>
              </m:sup>
            </m:sSup>
            <m:r>
              <w:rPr>
                <w:rFonts w:ascii="Cambria Math" w:hAnsi="Cambria Math"/>
                <w:noProof/>
                <w:color w:val="0070C0"/>
                <w:sz w:val="24"/>
                <w:szCs w:val="24"/>
              </w:rPr>
              <m:t>]</m:t>
            </m:r>
          </m:num>
          <m:den>
            <m:sSup>
              <m:sSupPr>
                <m:ctrlPr>
                  <w:rPr>
                    <w:rFonts w:ascii="Cambria Math" w:hAnsi="Cambria Math"/>
                    <w:i/>
                    <w:noProof/>
                    <w:color w:val="0070C0"/>
                    <w:sz w:val="24"/>
                    <w:szCs w:val="24"/>
                  </w:rPr>
                </m:ctrlPr>
              </m:sSupPr>
              <m:e>
                <m:sSub>
                  <m:sSubPr>
                    <m:ctrlPr>
                      <w:rPr>
                        <w:rFonts w:ascii="Cambria Math" w:hAnsi="Cambria Math"/>
                        <w:i/>
                        <w:noProof/>
                        <w:color w:val="0070C0"/>
                        <w:sz w:val="24"/>
                        <w:szCs w:val="24"/>
                      </w:rPr>
                    </m:ctrlPr>
                  </m:sSubPr>
                  <m:e>
                    <m:r>
                      <w:rPr>
                        <w:rFonts w:ascii="Cambria Math" w:hAnsi="Cambria Math"/>
                        <w:noProof/>
                        <w:color w:val="0070C0"/>
                        <w:sz w:val="24"/>
                        <w:szCs w:val="24"/>
                      </w:rPr>
                      <m:t>K</m:t>
                    </m:r>
                  </m:e>
                  <m:sub>
                    <m:r>
                      <w:rPr>
                        <w:rFonts w:ascii="Cambria Math" w:hAnsi="Cambria Math"/>
                        <w:noProof/>
                        <w:color w:val="0070C0"/>
                        <w:sz w:val="24"/>
                        <w:szCs w:val="24"/>
                      </w:rPr>
                      <m:t>m,NA</m:t>
                    </m:r>
                    <m:sSup>
                      <m:sSupPr>
                        <m:ctrlPr>
                          <w:rPr>
                            <w:rFonts w:ascii="Cambria Math" w:hAnsi="Cambria Math"/>
                            <w:i/>
                            <w:noProof/>
                            <w:color w:val="0070C0"/>
                            <w:sz w:val="24"/>
                            <w:szCs w:val="24"/>
                          </w:rPr>
                        </m:ctrlPr>
                      </m:sSupPr>
                      <m:e>
                        <m:r>
                          <w:rPr>
                            <w:rFonts w:ascii="Cambria Math" w:hAnsi="Cambria Math"/>
                            <w:noProof/>
                            <w:color w:val="0070C0"/>
                            <w:sz w:val="24"/>
                            <w:szCs w:val="24"/>
                          </w:rPr>
                          <m:t>D</m:t>
                        </m:r>
                      </m:e>
                      <m:sup>
                        <m:r>
                          <w:rPr>
                            <w:rFonts w:ascii="Cambria Math" w:hAnsi="Cambria Math"/>
                            <w:noProof/>
                            <w:color w:val="0070C0"/>
                            <w:sz w:val="24"/>
                            <w:szCs w:val="24"/>
                          </w:rPr>
                          <m:t>+</m:t>
                        </m:r>
                      </m:sup>
                    </m:sSup>
                  </m:sub>
                </m:sSub>
                <m:r>
                  <w:rPr>
                    <w:rFonts w:ascii="Cambria Math" w:hAnsi="Cambria Math"/>
                    <w:noProof/>
                    <w:color w:val="0070C0"/>
                    <w:sz w:val="24"/>
                    <w:szCs w:val="24"/>
                  </w:rPr>
                  <m:t>∙(1+</m:t>
                </m:r>
                <m:f>
                  <m:fPr>
                    <m:ctrlPr>
                      <w:rPr>
                        <w:rFonts w:ascii="Cambria Math" w:hAnsi="Cambria Math"/>
                        <w:i/>
                        <w:noProof/>
                        <w:color w:val="0070C0"/>
                        <w:sz w:val="24"/>
                        <w:szCs w:val="24"/>
                      </w:rPr>
                    </m:ctrlPr>
                  </m:fPr>
                  <m:num>
                    <m:d>
                      <m:dPr>
                        <m:begChr m:val="["/>
                        <m:endChr m:val="]"/>
                        <m:ctrlPr>
                          <w:rPr>
                            <w:rFonts w:ascii="Cambria Math" w:hAnsi="Cambria Math"/>
                            <w:i/>
                            <w:noProof/>
                            <w:color w:val="0070C0"/>
                            <w:sz w:val="24"/>
                            <w:szCs w:val="24"/>
                          </w:rPr>
                        </m:ctrlPr>
                      </m:dPr>
                      <m:e>
                        <m:r>
                          <w:rPr>
                            <w:rFonts w:ascii="Cambria Math" w:hAnsi="Cambria Math"/>
                            <w:noProof/>
                            <w:color w:val="0070C0"/>
                            <w:sz w:val="24"/>
                            <w:szCs w:val="24"/>
                          </w:rPr>
                          <m:t>I</m:t>
                        </m:r>
                      </m:e>
                    </m:d>
                  </m:num>
                  <m:den>
                    <m:sSub>
                      <m:sSubPr>
                        <m:ctrlPr>
                          <w:rPr>
                            <w:rFonts w:ascii="Cambria Math" w:hAnsi="Cambria Math"/>
                            <w:i/>
                            <w:noProof/>
                            <w:color w:val="0070C0"/>
                            <w:sz w:val="24"/>
                            <w:szCs w:val="24"/>
                          </w:rPr>
                        </m:ctrlPr>
                      </m:sSubPr>
                      <m:e>
                        <m:r>
                          <w:rPr>
                            <w:rFonts w:ascii="Cambria Math" w:hAnsi="Cambria Math"/>
                            <w:noProof/>
                            <w:color w:val="0070C0"/>
                            <w:sz w:val="24"/>
                            <w:szCs w:val="24"/>
                          </w:rPr>
                          <m:t>K</m:t>
                        </m:r>
                      </m:e>
                      <m:sub>
                        <m:r>
                          <w:rPr>
                            <w:rFonts w:ascii="Cambria Math" w:hAnsi="Cambria Math"/>
                            <w:noProof/>
                            <w:color w:val="0070C0"/>
                            <w:sz w:val="24"/>
                            <w:szCs w:val="24"/>
                          </w:rPr>
                          <m:t>i</m:t>
                        </m:r>
                      </m:sub>
                    </m:sSub>
                  </m:den>
                </m:f>
                <m:r>
                  <w:rPr>
                    <w:rFonts w:ascii="Cambria Math" w:hAnsi="Cambria Math"/>
                    <w:noProof/>
                    <w:color w:val="0070C0"/>
                    <w:sz w:val="24"/>
                    <w:szCs w:val="24"/>
                  </w:rPr>
                  <m:t>)+[NA</m:t>
                </m:r>
                <m:r>
                  <w:rPr>
                    <w:rFonts w:ascii="Cambria Math" w:hAnsi="Cambria Math"/>
                    <w:noProof/>
                    <w:color w:val="0070C0"/>
                    <w:sz w:val="24"/>
                    <w:szCs w:val="24"/>
                  </w:rPr>
                  <m:t>D</m:t>
                </m:r>
              </m:e>
              <m:sup>
                <m:r>
                  <w:rPr>
                    <w:rFonts w:ascii="Cambria Math" w:hAnsi="Cambria Math"/>
                    <w:noProof/>
                    <w:color w:val="0070C0"/>
                    <w:sz w:val="24"/>
                    <w:szCs w:val="24"/>
                  </w:rPr>
                  <m:t>+</m:t>
                </m:r>
              </m:sup>
            </m:sSup>
            <m:r>
              <w:rPr>
                <w:rFonts w:ascii="Cambria Math" w:hAnsi="Cambria Math"/>
                <w:noProof/>
                <w:color w:val="0070C0"/>
                <w:sz w:val="24"/>
                <w:szCs w:val="24"/>
              </w:rPr>
              <m:t>]∙(1+</m:t>
            </m:r>
            <m:f>
              <m:fPr>
                <m:ctrlPr>
                  <w:rPr>
                    <w:rFonts w:ascii="Cambria Math" w:hAnsi="Cambria Math"/>
                    <w:i/>
                    <w:noProof/>
                    <w:color w:val="0070C0"/>
                    <w:sz w:val="24"/>
                    <w:szCs w:val="24"/>
                  </w:rPr>
                </m:ctrlPr>
              </m:fPr>
              <m:num>
                <m:d>
                  <m:dPr>
                    <m:begChr m:val="["/>
                    <m:endChr m:val="]"/>
                    <m:ctrlPr>
                      <w:rPr>
                        <w:rFonts w:ascii="Cambria Math" w:hAnsi="Cambria Math"/>
                        <w:i/>
                        <w:noProof/>
                        <w:color w:val="0070C0"/>
                        <w:sz w:val="24"/>
                        <w:szCs w:val="24"/>
                      </w:rPr>
                    </m:ctrlPr>
                  </m:dPr>
                  <m:e>
                    <m:r>
                      <w:rPr>
                        <w:rFonts w:ascii="Cambria Math" w:hAnsi="Cambria Math"/>
                        <w:noProof/>
                        <w:color w:val="0070C0"/>
                        <w:sz w:val="24"/>
                        <w:szCs w:val="24"/>
                      </w:rPr>
                      <m:t>I</m:t>
                    </m:r>
                  </m:e>
                </m:d>
              </m:num>
              <m:den>
                <m:sSub>
                  <m:sSubPr>
                    <m:ctrlPr>
                      <w:rPr>
                        <w:rFonts w:ascii="Cambria Math" w:hAnsi="Cambria Math"/>
                        <w:i/>
                        <w:noProof/>
                        <w:color w:val="0070C0"/>
                        <w:sz w:val="24"/>
                        <w:szCs w:val="24"/>
                      </w:rPr>
                    </m:ctrlPr>
                  </m:sSubPr>
                  <m:e>
                    <m:r>
                      <w:rPr>
                        <w:rFonts w:ascii="Cambria Math" w:hAnsi="Cambria Math"/>
                        <w:noProof/>
                        <w:color w:val="0070C0"/>
                        <w:sz w:val="24"/>
                        <w:szCs w:val="24"/>
                      </w:rPr>
                      <m:t>∝K</m:t>
                    </m:r>
                  </m:e>
                  <m:sub>
                    <m:r>
                      <w:rPr>
                        <w:rFonts w:ascii="Cambria Math" w:hAnsi="Cambria Math"/>
                        <w:noProof/>
                        <w:color w:val="0070C0"/>
                        <w:sz w:val="24"/>
                        <w:szCs w:val="24"/>
                      </w:rPr>
                      <m:t>i</m:t>
                    </m:r>
                  </m:sub>
                </m:sSub>
              </m:den>
            </m:f>
            <m:r>
              <w:rPr>
                <w:rFonts w:ascii="Cambria Math" w:hAnsi="Cambria Math"/>
                <w:noProof/>
                <w:color w:val="0070C0"/>
                <w:sz w:val="24"/>
                <w:szCs w:val="24"/>
              </w:rPr>
              <m:t>)</m:t>
            </m:r>
          </m:den>
        </m:f>
      </m:oMath>
      <w:r w:rsidR="007068E6">
        <w:rPr>
          <w:color w:val="0070C0"/>
        </w:rPr>
        <w:t>).</w:t>
      </w:r>
      <w:r w:rsidRPr="007068E6">
        <w:rPr>
          <w:color w:val="0070C0"/>
        </w:rPr>
        <w:t xml:space="preserve"> </w:t>
      </w:r>
      <w:r w:rsidR="007068E6" w:rsidRPr="00253295">
        <w:rPr>
          <w:rFonts w:cs="AdvPSGEO-R"/>
          <w:color w:val="0070C0"/>
        </w:rPr>
        <w:t xml:space="preserve">The observed reaction rates with respect to fixed concentrations of substrate and varying concentrations of </w:t>
      </w:r>
      <w:r w:rsidR="007068E6">
        <w:rPr>
          <w:rFonts w:cs="AdvPSGEO-R"/>
          <w:color w:val="0070C0"/>
        </w:rPr>
        <w:t xml:space="preserve">inhibitors (NAM or </w:t>
      </w:r>
      <w:proofErr w:type="spellStart"/>
      <w:r w:rsidR="007068E6">
        <w:rPr>
          <w:rFonts w:cs="AdvPSGEO-R"/>
          <w:color w:val="0070C0"/>
        </w:rPr>
        <w:t>isoNAM</w:t>
      </w:r>
      <w:proofErr w:type="spellEnd"/>
      <w:r w:rsidR="007068E6">
        <w:rPr>
          <w:rFonts w:cs="AdvPSGEO-R"/>
          <w:color w:val="0070C0"/>
        </w:rPr>
        <w:t>)</w:t>
      </w:r>
      <w:r w:rsidR="007068E6" w:rsidRPr="00253295">
        <w:rPr>
          <w:rFonts w:cs="AdvPSGEO-R"/>
          <w:color w:val="0070C0"/>
        </w:rPr>
        <w:t xml:space="preserve"> were globally fit to the </w:t>
      </w:r>
      <w:r w:rsidR="007068E6">
        <w:rPr>
          <w:rFonts w:cs="AdvPSGEO-R"/>
          <w:color w:val="0070C0"/>
        </w:rPr>
        <w:t>aforementioned equation</w:t>
      </w:r>
      <w:r w:rsidR="007068E6" w:rsidRPr="00253295">
        <w:rPr>
          <w:rFonts w:cs="AdvPSGEO-R"/>
          <w:color w:val="0070C0"/>
        </w:rPr>
        <w:t>. The mechanisms of inhibition are determined from the alpha constant value</w:t>
      </w:r>
      <w:r w:rsidR="007068E6">
        <w:rPr>
          <w:rFonts w:cs="AdvPSGEO-R"/>
          <w:color w:val="0070C0"/>
        </w:rPr>
        <w:t xml:space="preserve"> (See Table 1)</w:t>
      </w:r>
      <w:r w:rsidR="007068E6" w:rsidRPr="00253295">
        <w:rPr>
          <w:rFonts w:cs="AdvPSGEO-R"/>
          <w:color w:val="0070C0"/>
        </w:rPr>
        <w:t xml:space="preserve">. </w:t>
      </w:r>
      <w:r w:rsidR="007068E6" w:rsidRPr="00253295">
        <w:rPr>
          <w:rFonts w:ascii="Symbol" w:hAnsi="Symbol"/>
          <w:color w:val="0070C0"/>
        </w:rPr>
        <w:t></w:t>
      </w:r>
      <w:r w:rsidR="007068E6" w:rsidRPr="00253295">
        <w:rPr>
          <w:color w:val="0070C0"/>
        </w:rPr>
        <w:t xml:space="preserve"> = 1, indicates noncompetitive inhibition, </w:t>
      </w:r>
      <w:r w:rsidR="007068E6" w:rsidRPr="00253295">
        <w:rPr>
          <w:rFonts w:ascii="Symbol" w:hAnsi="Symbol"/>
          <w:color w:val="0070C0"/>
        </w:rPr>
        <w:t></w:t>
      </w:r>
      <w:r w:rsidR="007068E6" w:rsidRPr="00253295">
        <w:rPr>
          <w:color w:val="0070C0"/>
        </w:rPr>
        <w:t xml:space="preserve"> &gt;&gt;1, competitive inhibition</w:t>
      </w:r>
      <w:r w:rsidR="007068E6">
        <w:rPr>
          <w:color w:val="0070C0"/>
        </w:rPr>
        <w:t>,</w:t>
      </w:r>
      <w:r w:rsidR="007068E6" w:rsidRPr="00253295">
        <w:rPr>
          <w:color w:val="0070C0"/>
        </w:rPr>
        <w:t xml:space="preserve"> and </w:t>
      </w:r>
      <w:r w:rsidR="007068E6" w:rsidRPr="00253295">
        <w:rPr>
          <w:rFonts w:ascii="Symbol" w:hAnsi="Symbol"/>
          <w:color w:val="0070C0"/>
        </w:rPr>
        <w:t></w:t>
      </w:r>
      <w:r w:rsidR="007068E6" w:rsidRPr="00253295">
        <w:rPr>
          <w:color w:val="0070C0"/>
        </w:rPr>
        <w:t xml:space="preserve"> &lt;&lt; 1 uncompetitive inhibition.</w:t>
      </w:r>
      <w:r w:rsidR="007068E6">
        <w:rPr>
          <w:color w:val="0070C0"/>
        </w:rPr>
        <w:t xml:space="preserve"> </w:t>
      </w:r>
      <w:r w:rsidR="007068E6">
        <w:rPr>
          <w:rFonts w:cs="Arial"/>
          <w:color w:val="0070C0"/>
        </w:rPr>
        <w:t>For human SIRT3</w:t>
      </w:r>
      <w:proofErr w:type="gramStart"/>
      <w:r w:rsidR="007068E6">
        <w:rPr>
          <w:rFonts w:cs="Arial"/>
          <w:color w:val="0070C0"/>
        </w:rPr>
        <w:t xml:space="preserve">,  </w:t>
      </w:r>
      <w:r w:rsidR="007068E6" w:rsidRPr="00A063DC">
        <w:rPr>
          <w:rFonts w:ascii="Symbol" w:hAnsi="Symbol" w:cs="Arial"/>
          <w:color w:val="0070C0"/>
        </w:rPr>
        <w:t></w:t>
      </w:r>
      <w:proofErr w:type="gramEnd"/>
      <w:r w:rsidR="007068E6">
        <w:rPr>
          <w:rFonts w:cs="Arial"/>
          <w:color w:val="0070C0"/>
          <w:vertAlign w:val="subscript"/>
        </w:rPr>
        <w:t>NAM</w:t>
      </w:r>
      <w:r w:rsidR="007068E6" w:rsidRPr="00A063DC">
        <w:rPr>
          <w:rFonts w:cs="Arial"/>
          <w:color w:val="0070C0"/>
        </w:rPr>
        <w:t>=2.735</w:t>
      </w:r>
      <w:r w:rsidR="007068E6">
        <w:rPr>
          <w:rFonts w:cs="Arial"/>
          <w:color w:val="0070C0"/>
        </w:rPr>
        <w:t xml:space="preserve"> indicates that </w:t>
      </w:r>
      <w:r w:rsidR="007068E6" w:rsidRPr="00253295">
        <w:rPr>
          <w:color w:val="0070C0"/>
        </w:rPr>
        <w:t>NAM inhibition of human SIRT3 pertain some degrees of competitive behavior</w:t>
      </w:r>
      <w:r w:rsidR="007068E6">
        <w:rPr>
          <w:color w:val="0070C0"/>
        </w:rPr>
        <w:t>.</w:t>
      </w:r>
      <w:r w:rsidR="007068E6">
        <w:rPr>
          <w:rFonts w:cs="Arial"/>
          <w:color w:val="0070C0"/>
        </w:rPr>
        <w:t xml:space="preserve"> </w:t>
      </w:r>
      <w:r w:rsidR="00F01D23" w:rsidRPr="00253295">
        <w:rPr>
          <w:color w:val="0070C0"/>
        </w:rPr>
        <w:t xml:space="preserve">Recalled </w:t>
      </w:r>
      <w:proofErr w:type="spellStart"/>
      <w:r w:rsidR="00F01D23" w:rsidRPr="00253295">
        <w:rPr>
          <w:color w:val="0070C0"/>
        </w:rPr>
        <w:t>Sirtris</w:t>
      </w:r>
      <w:proofErr w:type="spellEnd"/>
      <w:r w:rsidR="00F01D23" w:rsidRPr="00253295">
        <w:rPr>
          <w:color w:val="0070C0"/>
        </w:rPr>
        <w:t xml:space="preserve">’ 2009 work published on Protein Science, mouse SIRT3 was studied and it was </w:t>
      </w:r>
      <w:r w:rsidR="00D66EE5">
        <w:rPr>
          <w:color w:val="0070C0"/>
        </w:rPr>
        <w:t>found</w:t>
      </w:r>
      <w:r w:rsidR="00F01D23" w:rsidRPr="00253295">
        <w:rPr>
          <w:color w:val="0070C0"/>
        </w:rPr>
        <w:t xml:space="preserve"> that mSIRT3 has a different mechanism of inhibition for NAM (</w:t>
      </w:r>
      <w:r w:rsidR="00D66EE5" w:rsidRPr="00A063DC">
        <w:rPr>
          <w:rFonts w:ascii="Symbol" w:hAnsi="Symbol" w:cs="Arial"/>
          <w:color w:val="0070C0"/>
        </w:rPr>
        <w:t></w:t>
      </w:r>
      <w:r w:rsidR="00D66EE5">
        <w:rPr>
          <w:rFonts w:cs="Arial"/>
          <w:color w:val="0070C0"/>
          <w:vertAlign w:val="subscript"/>
        </w:rPr>
        <w:t>NAM</w:t>
      </w:r>
      <w:r w:rsidR="00D66EE5" w:rsidRPr="00A063DC">
        <w:rPr>
          <w:rFonts w:cs="Arial"/>
          <w:color w:val="0070C0"/>
        </w:rPr>
        <w:t>=2.</w:t>
      </w:r>
      <w:r w:rsidR="00D66EE5">
        <w:rPr>
          <w:rFonts w:cs="Arial"/>
          <w:color w:val="0070C0"/>
        </w:rPr>
        <w:t>84,</w:t>
      </w:r>
      <w:r w:rsidR="00D66EE5">
        <w:rPr>
          <w:rFonts w:cs="Arial"/>
          <w:color w:val="0070C0"/>
        </w:rPr>
        <w:t xml:space="preserve"> </w:t>
      </w:r>
      <w:r w:rsidR="00F01D23" w:rsidRPr="00253295">
        <w:rPr>
          <w:color w:val="0070C0"/>
        </w:rPr>
        <w:t xml:space="preserve">competitive) to those in </w:t>
      </w:r>
      <w:r w:rsidR="00F01D23" w:rsidRPr="00253295">
        <w:rPr>
          <w:rFonts w:cs="AdvPSGEO-R"/>
          <w:color w:val="0070C0"/>
        </w:rPr>
        <w:t xml:space="preserve">SIRT1, SIRT2, yeast and bacterial </w:t>
      </w:r>
      <w:r w:rsidR="00F01D23" w:rsidRPr="00253295">
        <w:rPr>
          <w:rFonts w:cs="AdvPSGEO-R"/>
          <w:color w:val="0070C0"/>
        </w:rPr>
        <w:t>Sir</w:t>
      </w:r>
      <w:r w:rsidR="00253295" w:rsidRPr="00253295">
        <w:rPr>
          <w:rFonts w:cs="AdvPSGEO-R"/>
          <w:color w:val="0070C0"/>
        </w:rPr>
        <w:t>2</w:t>
      </w:r>
      <w:r w:rsidR="00F01D23" w:rsidRPr="00253295">
        <w:rPr>
          <w:rFonts w:cs="AdvPSGEO-R"/>
          <w:color w:val="0070C0"/>
        </w:rPr>
        <w:t xml:space="preserve"> (noncompetitive).  </w:t>
      </w:r>
    </w:p>
    <w:p w:rsidR="00495DCD" w:rsidRPr="00253295" w:rsidRDefault="00495DCD" w:rsidP="00253295">
      <w:pPr>
        <w:pStyle w:val="NoSpacing"/>
        <w:ind w:left="720"/>
        <w:jc w:val="both"/>
        <w:rPr>
          <w:color w:val="0070C0"/>
        </w:rPr>
      </w:pPr>
    </w:p>
    <w:p w:rsidR="00495DCD" w:rsidRDefault="00495DCD" w:rsidP="00495DCD">
      <w:pPr>
        <w:pStyle w:val="NoSpacing"/>
        <w:jc w:val="both"/>
      </w:pPr>
      <w:r w:rsidRPr="00495DCD">
        <w:rPr>
          <w:u w:val="single"/>
        </w:rPr>
        <w:t>Major comments</w:t>
      </w:r>
      <w:r w:rsidRPr="00495DCD">
        <w:t xml:space="preserve">: </w:t>
      </w:r>
    </w:p>
    <w:p w:rsidR="00495DCD" w:rsidRDefault="00495DCD" w:rsidP="00495DCD">
      <w:pPr>
        <w:pStyle w:val="NoSpacing"/>
        <w:numPr>
          <w:ilvl w:val="0"/>
          <w:numId w:val="3"/>
        </w:numPr>
        <w:jc w:val="both"/>
      </w:pPr>
      <w:r w:rsidRPr="00495DCD">
        <w:t>It is not clear in the results or the methods the source of the SIRT1 and Sir2 analyzed. Was it purified? If so what protocol was used? What degree of purity? Was it purchased? If so, where from?</w:t>
      </w:r>
      <w:r>
        <w:t xml:space="preserve"> </w:t>
      </w:r>
      <w:r w:rsidRPr="00495DCD">
        <w:t xml:space="preserve">This is essential information given the fact that the conclusions are all based on the experimental data obtained from these proteins. </w:t>
      </w:r>
    </w:p>
    <w:p w:rsidR="00A063DC" w:rsidRDefault="00495DCD" w:rsidP="00495DCD">
      <w:pPr>
        <w:pStyle w:val="NoSpacing"/>
        <w:jc w:val="both"/>
      </w:pPr>
      <w:r w:rsidRPr="00495DCD">
        <w:rPr>
          <w:i/>
          <w:u w:val="single"/>
        </w:rPr>
        <w:t>Response</w:t>
      </w:r>
      <w:r>
        <w:t>:</w:t>
      </w:r>
      <w:r w:rsidR="00A33C13">
        <w:t xml:space="preserve"> </w:t>
      </w:r>
    </w:p>
    <w:p w:rsidR="00495DCD" w:rsidRPr="00A063DC" w:rsidRDefault="00A33C13" w:rsidP="00A063DC">
      <w:pPr>
        <w:pStyle w:val="NoSpacing"/>
        <w:numPr>
          <w:ilvl w:val="0"/>
          <w:numId w:val="6"/>
        </w:numPr>
        <w:jc w:val="both"/>
        <w:rPr>
          <w:color w:val="0070C0"/>
        </w:rPr>
      </w:pPr>
      <w:r w:rsidRPr="00A063DC">
        <w:rPr>
          <w:color w:val="0070C0"/>
        </w:rPr>
        <w:t xml:space="preserve">The SIRT1 and SIRT3 proteins used in the experiments were purchased from </w:t>
      </w:r>
      <w:proofErr w:type="spellStart"/>
      <w:r w:rsidRPr="00A063DC">
        <w:rPr>
          <w:color w:val="0070C0"/>
        </w:rPr>
        <w:t>Enzo</w:t>
      </w:r>
      <w:proofErr w:type="spellEnd"/>
      <w:r w:rsidRPr="00A063DC">
        <w:rPr>
          <w:color w:val="0070C0"/>
        </w:rPr>
        <w:t xml:space="preserve"> Life Sciences, NY, </w:t>
      </w:r>
      <w:proofErr w:type="gramStart"/>
      <w:r w:rsidRPr="00A063DC">
        <w:rPr>
          <w:color w:val="0070C0"/>
        </w:rPr>
        <w:t>USA</w:t>
      </w:r>
      <w:proofErr w:type="gramEnd"/>
      <w:r w:rsidRPr="00A063DC">
        <w:rPr>
          <w:color w:val="0070C0"/>
        </w:rPr>
        <w:t xml:space="preserve">. The recombinant enzyme was dissolved in assay buffer (25mM </w:t>
      </w:r>
      <w:proofErr w:type="spellStart"/>
      <w:r w:rsidRPr="00A063DC">
        <w:rPr>
          <w:color w:val="0070C0"/>
        </w:rPr>
        <w:t>Tris</w:t>
      </w:r>
      <w:proofErr w:type="spellEnd"/>
      <w:r w:rsidRPr="00A063DC">
        <w:rPr>
          <w:color w:val="0070C0"/>
        </w:rPr>
        <w:t xml:space="preserve">, pH 7.5, 100 </w:t>
      </w:r>
      <w:proofErr w:type="spellStart"/>
      <w:r w:rsidRPr="00A063DC">
        <w:rPr>
          <w:color w:val="0070C0"/>
        </w:rPr>
        <w:t>mM</w:t>
      </w:r>
      <w:proofErr w:type="spellEnd"/>
      <w:r w:rsidRPr="00A063DC">
        <w:rPr>
          <w:color w:val="0070C0"/>
        </w:rPr>
        <w:t xml:space="preserve"> </w:t>
      </w:r>
      <w:proofErr w:type="spellStart"/>
      <w:r w:rsidRPr="00A063DC">
        <w:rPr>
          <w:color w:val="0070C0"/>
        </w:rPr>
        <w:t>NaCl</w:t>
      </w:r>
      <w:proofErr w:type="spellEnd"/>
      <w:r w:rsidRPr="00A063DC">
        <w:rPr>
          <w:color w:val="0070C0"/>
        </w:rPr>
        <w:t xml:space="preserve">, 5 </w:t>
      </w:r>
      <w:proofErr w:type="spellStart"/>
      <w:r w:rsidRPr="00A063DC">
        <w:rPr>
          <w:color w:val="0070C0"/>
        </w:rPr>
        <w:t>mM</w:t>
      </w:r>
      <w:proofErr w:type="spellEnd"/>
      <w:r w:rsidRPr="00A063DC">
        <w:rPr>
          <w:color w:val="0070C0"/>
        </w:rPr>
        <w:t xml:space="preserve"> </w:t>
      </w:r>
      <w:proofErr w:type="spellStart"/>
      <w:r w:rsidRPr="00A063DC">
        <w:rPr>
          <w:color w:val="0070C0"/>
        </w:rPr>
        <w:t>dithiothreitol</w:t>
      </w:r>
      <w:proofErr w:type="spellEnd"/>
      <w:r w:rsidRPr="00A063DC">
        <w:rPr>
          <w:color w:val="0070C0"/>
        </w:rPr>
        <w:t xml:space="preserve"> and 10% glycerol). The enzymes was prepared into desired aliquots upon receiving to avoid freeze/thaw cycles and stored at -70</w:t>
      </w:r>
      <w:r w:rsidRPr="00A063DC">
        <w:rPr>
          <w:color w:val="0070C0"/>
          <w:vertAlign w:val="superscript"/>
        </w:rPr>
        <w:t>o</w:t>
      </w:r>
      <w:r w:rsidRPr="00A063DC">
        <w:rPr>
          <w:color w:val="0070C0"/>
        </w:rPr>
        <w:t>C till use.</w:t>
      </w:r>
    </w:p>
    <w:p w:rsidR="00A063DC" w:rsidRPr="00A063DC" w:rsidRDefault="00A063DC" w:rsidP="00495DCD">
      <w:pPr>
        <w:pStyle w:val="NoSpacing"/>
        <w:jc w:val="both"/>
        <w:rPr>
          <w:color w:val="0070C0"/>
        </w:rPr>
      </w:pPr>
    </w:p>
    <w:p w:rsidR="00495DCD" w:rsidRDefault="00495DCD" w:rsidP="00495DCD">
      <w:pPr>
        <w:pStyle w:val="NoSpacing"/>
        <w:numPr>
          <w:ilvl w:val="0"/>
          <w:numId w:val="3"/>
        </w:numPr>
        <w:jc w:val="both"/>
      </w:pPr>
      <w:r w:rsidRPr="00495DCD">
        <w:t>In Figure 2 the authors mention that</w:t>
      </w:r>
      <w:r>
        <w:t xml:space="preserve"> unlike SIRT1 SIRT3, exhibits “</w:t>
      </w:r>
      <w:r w:rsidRPr="00495DCD">
        <w:t xml:space="preserve">mixed noncompetitive” inhibition for NAM. It is hard to appreciate this as the Figure 2B the X-axis does not enable to see well the intersection of the different NAM concentrations </w:t>
      </w:r>
      <w:r>
        <w:t xml:space="preserve">it would be informative to have </w:t>
      </w:r>
      <w:r w:rsidRPr="00495DCD">
        <w:t xml:space="preserve">the X-axis in 2A and 2B to be the same to enable proper comparison. Otherwise the statement made is not supported by shown data. </w:t>
      </w:r>
    </w:p>
    <w:p w:rsidR="00495DCD" w:rsidRDefault="00495DCD" w:rsidP="00495DCD">
      <w:pPr>
        <w:pStyle w:val="NoSpacing"/>
        <w:ind w:left="360"/>
        <w:jc w:val="both"/>
      </w:pPr>
      <w:r w:rsidRPr="00495DCD">
        <w:t>Also a general remark it should be noted that the substrates used here are different for SIRT1 and SIRT3 this should be better addressed in the text. Is this ac</w:t>
      </w:r>
      <w:r>
        <w:t xml:space="preserve">counted for in the models? </w:t>
      </w:r>
    </w:p>
    <w:p w:rsidR="00A063DC" w:rsidRDefault="00495DCD" w:rsidP="00495DCD">
      <w:pPr>
        <w:pStyle w:val="NoSpacing"/>
        <w:jc w:val="both"/>
      </w:pPr>
      <w:r w:rsidRPr="00495DCD">
        <w:rPr>
          <w:i/>
          <w:u w:val="single"/>
        </w:rPr>
        <w:t>Response</w:t>
      </w:r>
      <w:r>
        <w:t>:</w:t>
      </w:r>
      <w:r w:rsidR="00A33BBA">
        <w:t xml:space="preserve"> </w:t>
      </w:r>
    </w:p>
    <w:p w:rsidR="00A063DC" w:rsidRPr="00A063DC" w:rsidRDefault="00A33BBA" w:rsidP="00A063DC">
      <w:pPr>
        <w:pStyle w:val="NoSpacing"/>
        <w:numPr>
          <w:ilvl w:val="0"/>
          <w:numId w:val="4"/>
        </w:numPr>
        <w:jc w:val="both"/>
        <w:rPr>
          <w:color w:val="0070C0"/>
        </w:rPr>
      </w:pPr>
      <w:proofErr w:type="gramStart"/>
      <w:r w:rsidRPr="00A063DC">
        <w:rPr>
          <w:rFonts w:cs="Arial"/>
          <w:color w:val="0070C0"/>
        </w:rPr>
        <w:t>x-axis</w:t>
      </w:r>
      <w:proofErr w:type="gramEnd"/>
      <w:r w:rsidRPr="00A063DC">
        <w:rPr>
          <w:rFonts w:cs="Arial"/>
          <w:color w:val="0070C0"/>
        </w:rPr>
        <w:t xml:space="preserve"> has been changed to same scale. To be seen clearly on the intersection of the different NAM concentrations, Figures 2C and 2D have been added.</w:t>
      </w:r>
      <w:r w:rsidR="006F19DE" w:rsidRPr="00A063DC">
        <w:rPr>
          <w:rFonts w:cs="Arial"/>
          <w:color w:val="0070C0"/>
        </w:rPr>
        <w:t xml:space="preserve"> </w:t>
      </w:r>
    </w:p>
    <w:p w:rsidR="00495DCD" w:rsidRPr="00A063DC" w:rsidRDefault="006F19DE" w:rsidP="00A063DC">
      <w:pPr>
        <w:pStyle w:val="NoSpacing"/>
        <w:numPr>
          <w:ilvl w:val="0"/>
          <w:numId w:val="4"/>
        </w:numPr>
        <w:jc w:val="both"/>
        <w:rPr>
          <w:color w:val="0070C0"/>
        </w:rPr>
      </w:pPr>
      <w:r w:rsidRPr="00A063DC">
        <w:rPr>
          <w:rFonts w:cs="Arial"/>
          <w:color w:val="0070C0"/>
        </w:rPr>
        <w:t xml:space="preserve">On Table 1, </w:t>
      </w:r>
      <w:r w:rsidRPr="00A063DC">
        <w:rPr>
          <w:rFonts w:ascii="Symbol" w:hAnsi="Symbol" w:cs="Arial"/>
          <w:color w:val="0070C0"/>
        </w:rPr>
        <w:t></w:t>
      </w:r>
      <w:r w:rsidRPr="00A063DC">
        <w:rPr>
          <w:rFonts w:cs="Arial"/>
          <w:color w:val="0070C0"/>
          <w:vertAlign w:val="subscript"/>
        </w:rPr>
        <w:t>SIRT1</w:t>
      </w:r>
      <w:r w:rsidRPr="00A063DC">
        <w:rPr>
          <w:rFonts w:cs="Arial"/>
          <w:color w:val="0070C0"/>
        </w:rPr>
        <w:t xml:space="preserve">=0.848 and </w:t>
      </w:r>
      <w:r w:rsidRPr="00A063DC">
        <w:rPr>
          <w:rFonts w:ascii="Symbol" w:hAnsi="Symbol" w:cs="Arial"/>
          <w:color w:val="0070C0"/>
        </w:rPr>
        <w:t></w:t>
      </w:r>
      <w:r w:rsidRPr="00A063DC">
        <w:rPr>
          <w:rFonts w:cs="Arial"/>
          <w:color w:val="0070C0"/>
          <w:vertAlign w:val="subscript"/>
        </w:rPr>
        <w:t>SIRT3</w:t>
      </w:r>
      <w:r w:rsidRPr="00A063DC">
        <w:rPr>
          <w:rFonts w:cs="Arial"/>
          <w:color w:val="0070C0"/>
        </w:rPr>
        <w:t>=2.735</w:t>
      </w:r>
      <w:r w:rsidR="00307241" w:rsidRPr="00A063DC">
        <w:rPr>
          <w:rFonts w:cs="Arial"/>
          <w:color w:val="0070C0"/>
        </w:rPr>
        <w:t>.</w:t>
      </w:r>
    </w:p>
    <w:p w:rsidR="00495DCD" w:rsidRPr="00A33BBA" w:rsidRDefault="00495DCD" w:rsidP="00495DCD">
      <w:pPr>
        <w:pStyle w:val="NoSpacing"/>
        <w:jc w:val="both"/>
      </w:pPr>
    </w:p>
    <w:p w:rsidR="00495DCD" w:rsidRDefault="00495DCD" w:rsidP="00495DCD">
      <w:pPr>
        <w:pStyle w:val="NoSpacing"/>
        <w:numPr>
          <w:ilvl w:val="0"/>
          <w:numId w:val="3"/>
        </w:numPr>
        <w:jc w:val="both"/>
      </w:pPr>
      <w:r w:rsidRPr="00495DCD">
        <w:t xml:space="preserve">There is no elaboration on Figure 3 in the text. For Figure 3 the Dixon should be shown with the intersection of the plots with the X-axis so information regarding the Ki can be analyzed and also a </w:t>
      </w:r>
      <w:r w:rsidRPr="00495DCD">
        <w:lastRenderedPageBreak/>
        <w:t>better understanding to the nature of inhibition (competitive or not) could be achieved. Without showing that it is hard to</w:t>
      </w:r>
      <w:r>
        <w:t xml:space="preserve"> conclude much from the figure.</w:t>
      </w:r>
    </w:p>
    <w:p w:rsidR="00A063DC" w:rsidRDefault="00495DCD" w:rsidP="00495DCD">
      <w:pPr>
        <w:pStyle w:val="NoSpacing"/>
        <w:jc w:val="both"/>
      </w:pPr>
      <w:r w:rsidRPr="00495DCD">
        <w:rPr>
          <w:i/>
          <w:u w:val="single"/>
        </w:rPr>
        <w:t>Response</w:t>
      </w:r>
      <w:r>
        <w:t>:</w:t>
      </w:r>
      <w:r w:rsidR="00307241">
        <w:t xml:space="preserve"> </w:t>
      </w:r>
    </w:p>
    <w:p w:rsidR="00495DCD" w:rsidRPr="00A063DC" w:rsidRDefault="00307241" w:rsidP="00A063DC">
      <w:pPr>
        <w:pStyle w:val="NoSpacing"/>
        <w:numPr>
          <w:ilvl w:val="0"/>
          <w:numId w:val="5"/>
        </w:numPr>
        <w:jc w:val="both"/>
        <w:rPr>
          <w:color w:val="0070C0"/>
        </w:rPr>
      </w:pPr>
      <w:r w:rsidRPr="00A063DC">
        <w:rPr>
          <w:rFonts w:cs="Arial"/>
          <w:color w:val="0070C0"/>
        </w:rPr>
        <w:t xml:space="preserve">Figure 3A and 3B, the </w:t>
      </w:r>
      <w:proofErr w:type="spellStart"/>
      <w:r w:rsidRPr="00A063DC">
        <w:rPr>
          <w:rFonts w:cs="Arial"/>
          <w:color w:val="0070C0"/>
        </w:rPr>
        <w:t>intersectionof</w:t>
      </w:r>
      <w:proofErr w:type="spellEnd"/>
      <w:r w:rsidRPr="00A063DC">
        <w:rPr>
          <w:rFonts w:cs="Arial"/>
          <w:color w:val="0070C0"/>
        </w:rPr>
        <w:t xml:space="preserve"> the </w:t>
      </w:r>
      <w:proofErr w:type="gramStart"/>
      <w:r w:rsidRPr="00A063DC">
        <w:rPr>
          <w:rFonts w:cs="Arial"/>
          <w:color w:val="0070C0"/>
        </w:rPr>
        <w:t>plots with the x-axis has</w:t>
      </w:r>
      <w:proofErr w:type="gramEnd"/>
      <w:r w:rsidRPr="00A063DC">
        <w:rPr>
          <w:rFonts w:cs="Arial"/>
          <w:color w:val="0070C0"/>
        </w:rPr>
        <w:t xml:space="preserve"> been included</w:t>
      </w:r>
      <w:r w:rsidR="00A063DC">
        <w:rPr>
          <w:rFonts w:cs="Arial"/>
          <w:color w:val="0070C0"/>
        </w:rPr>
        <w:t>.</w:t>
      </w:r>
    </w:p>
    <w:p w:rsidR="00495DCD" w:rsidRPr="00307241" w:rsidRDefault="00495DCD" w:rsidP="00495DCD">
      <w:pPr>
        <w:pStyle w:val="NoSpacing"/>
        <w:jc w:val="both"/>
      </w:pPr>
    </w:p>
    <w:p w:rsidR="00495DCD" w:rsidRDefault="00495DCD" w:rsidP="00495DCD">
      <w:pPr>
        <w:pStyle w:val="NoSpacing"/>
        <w:numPr>
          <w:ilvl w:val="0"/>
          <w:numId w:val="3"/>
        </w:numPr>
        <w:jc w:val="both"/>
      </w:pPr>
      <w:r w:rsidRPr="00307241">
        <w:t>In Figure 5</w:t>
      </w:r>
      <w:r w:rsidR="00A33C13" w:rsidRPr="00307241">
        <w:t>,</w:t>
      </w:r>
      <w:r w:rsidRPr="00307241">
        <w:t xml:space="preserve"> the authors show that increasing the </w:t>
      </w:r>
      <w:proofErr w:type="spellStart"/>
      <w:r w:rsidRPr="00307241">
        <w:t>isoNAM</w:t>
      </w:r>
      <w:proofErr w:type="spellEnd"/>
      <w:r w:rsidRPr="00495DCD">
        <w:t xml:space="preserve"> does not alter NAM inhibition of SIRT3. But there is no positive control for these experimental conditions. For the statement to be valid it would be useful to show that under the same conditions NAM inhibition of Sir2 is alleviated by </w:t>
      </w:r>
      <w:proofErr w:type="spellStart"/>
      <w:r w:rsidRPr="00495DCD">
        <w:t>isoNAM</w:t>
      </w:r>
      <w:proofErr w:type="spellEnd"/>
      <w:r w:rsidRPr="00495DCD">
        <w:t xml:space="preserve"> (positive control) otherwise it is not clear if the result is due the experimental settings or due to the unique properties of SIRT3.</w:t>
      </w:r>
    </w:p>
    <w:p w:rsidR="00495DCD" w:rsidRDefault="00495DCD" w:rsidP="00495DCD">
      <w:pPr>
        <w:pStyle w:val="NoSpacing"/>
        <w:jc w:val="both"/>
      </w:pPr>
      <w:r w:rsidRPr="00495DCD">
        <w:rPr>
          <w:i/>
          <w:u w:val="single"/>
        </w:rPr>
        <w:t>Response</w:t>
      </w:r>
      <w:r>
        <w:t>:</w:t>
      </w:r>
    </w:p>
    <w:p w:rsidR="00A063DC" w:rsidRPr="00A063DC" w:rsidRDefault="00A063DC" w:rsidP="00A063DC">
      <w:pPr>
        <w:pStyle w:val="NoSpacing"/>
        <w:numPr>
          <w:ilvl w:val="0"/>
          <w:numId w:val="5"/>
        </w:numPr>
        <w:jc w:val="both"/>
        <w:rPr>
          <w:color w:val="0070C0"/>
        </w:rPr>
      </w:pPr>
      <w:r w:rsidRPr="00A063DC">
        <w:rPr>
          <w:color w:val="0070C0"/>
        </w:rPr>
        <w:t>Detailed experimental conditions on NAM inhibition of Sir2</w:t>
      </w:r>
      <w:r>
        <w:rPr>
          <w:color w:val="0070C0"/>
        </w:rPr>
        <w:t xml:space="preserve">. In our experiment, we </w:t>
      </w:r>
      <w:proofErr w:type="spellStart"/>
      <w:r>
        <w:rPr>
          <w:color w:val="0070C0"/>
        </w:rPr>
        <w:t>examed</w:t>
      </w:r>
      <w:proofErr w:type="spellEnd"/>
      <w:r>
        <w:rPr>
          <w:color w:val="0070C0"/>
        </w:rPr>
        <w:t xml:space="preserve"> SIRT1 instead of Sir2. The detailed reported</w:t>
      </w:r>
      <w:r w:rsidRPr="00A063DC">
        <w:rPr>
          <w:color w:val="0070C0"/>
        </w:rPr>
        <w:t xml:space="preserve"> experimental conditions on NAM inhibition of Sir2</w:t>
      </w:r>
      <w:r>
        <w:rPr>
          <w:color w:val="0070C0"/>
        </w:rPr>
        <w:t xml:space="preserve"> are listed below:</w:t>
      </w:r>
    </w:p>
    <w:p w:rsidR="00A063DC" w:rsidRPr="00A063DC" w:rsidRDefault="00A063DC" w:rsidP="00A063DC">
      <w:pPr>
        <w:pStyle w:val="NoSpacing"/>
        <w:ind w:left="720"/>
        <w:jc w:val="both"/>
        <w:rPr>
          <w:rFonts w:ascii="Calibri" w:hAnsi="Calibri" w:cs="Arial"/>
          <w:color w:val="0070C0"/>
        </w:rPr>
      </w:pPr>
      <w:r w:rsidRPr="00A063DC">
        <w:rPr>
          <w:rFonts w:ascii="Calibri" w:hAnsi="Calibri" w:cs="Arial"/>
          <w:color w:val="0070C0"/>
        </w:rPr>
        <w:t>Sinclair, D (2002) JBC</w:t>
      </w:r>
      <w:r>
        <w:rPr>
          <w:rFonts w:ascii="Calibri" w:hAnsi="Calibri" w:cs="Arial"/>
          <w:color w:val="0070C0"/>
        </w:rPr>
        <w:t>---</w:t>
      </w:r>
      <w:r w:rsidRPr="00A063DC">
        <w:rPr>
          <w:rFonts w:ascii="Calibri" w:hAnsi="Calibri" w:cs="Arial"/>
          <w:color w:val="0070C0"/>
        </w:rPr>
        <w:t>Recombinant glutathione S-</w:t>
      </w:r>
      <w:proofErr w:type="spellStart"/>
      <w:r w:rsidRPr="00A063DC">
        <w:rPr>
          <w:rFonts w:ascii="Calibri" w:hAnsi="Calibri" w:cs="Arial"/>
          <w:color w:val="0070C0"/>
        </w:rPr>
        <w:t>transferase</w:t>
      </w:r>
      <w:proofErr w:type="spellEnd"/>
      <w:r w:rsidRPr="00A063DC">
        <w:rPr>
          <w:rFonts w:ascii="Calibri" w:hAnsi="Calibri" w:cs="Arial"/>
          <w:color w:val="0070C0"/>
        </w:rPr>
        <w:t xml:space="preserve">-tagged yeast Sir2p (gift of D. </w:t>
      </w:r>
      <w:proofErr w:type="spellStart"/>
      <w:r w:rsidRPr="00A063DC">
        <w:rPr>
          <w:rFonts w:ascii="Calibri" w:hAnsi="Calibri" w:cs="Arial"/>
          <w:color w:val="0070C0"/>
        </w:rPr>
        <w:t>Moazed</w:t>
      </w:r>
      <w:proofErr w:type="spellEnd"/>
      <w:r w:rsidRPr="00A063DC">
        <w:rPr>
          <w:rFonts w:ascii="Calibri" w:hAnsi="Calibri" w:cs="Arial"/>
          <w:color w:val="0070C0"/>
        </w:rPr>
        <w:t xml:space="preserve">) and recombinant human SIRT1 (48) were assayed for </w:t>
      </w:r>
      <w:proofErr w:type="spellStart"/>
      <w:r w:rsidRPr="00A063DC">
        <w:rPr>
          <w:rFonts w:ascii="Calibri" w:hAnsi="Calibri" w:cs="Arial"/>
          <w:color w:val="0070C0"/>
        </w:rPr>
        <w:t>deacetylase</w:t>
      </w:r>
      <w:proofErr w:type="spellEnd"/>
      <w:r w:rsidRPr="00A063DC">
        <w:rPr>
          <w:rFonts w:ascii="Calibri" w:hAnsi="Calibri" w:cs="Arial"/>
          <w:color w:val="0070C0"/>
        </w:rPr>
        <w:t xml:space="preserve"> activity using the HDAC fluorescent activity assay/drug discovery kit (AK-500, BIOMOL Research Laboratories). This assay system allows detection of a fluorescent signal upon </w:t>
      </w:r>
      <w:proofErr w:type="spellStart"/>
      <w:r w:rsidRPr="00A063DC">
        <w:rPr>
          <w:rFonts w:ascii="Calibri" w:hAnsi="Calibri" w:cs="Arial"/>
          <w:color w:val="0070C0"/>
        </w:rPr>
        <w:t>deacetylation</w:t>
      </w:r>
      <w:proofErr w:type="spellEnd"/>
      <w:r w:rsidRPr="00A063DC">
        <w:rPr>
          <w:rFonts w:ascii="Calibri" w:hAnsi="Calibri" w:cs="Arial"/>
          <w:color w:val="0070C0"/>
        </w:rPr>
        <w:t xml:space="preserve"> of a histone substrate when treated with developer. Fluorescence was measured on a </w:t>
      </w:r>
      <w:proofErr w:type="spellStart"/>
      <w:r w:rsidRPr="00A063DC">
        <w:rPr>
          <w:rFonts w:ascii="Calibri" w:hAnsi="Calibri" w:cs="Arial"/>
          <w:color w:val="0070C0"/>
        </w:rPr>
        <w:t>fluorometric</w:t>
      </w:r>
      <w:proofErr w:type="spellEnd"/>
      <w:r w:rsidRPr="00A063DC">
        <w:rPr>
          <w:rFonts w:ascii="Calibri" w:hAnsi="Calibri" w:cs="Arial"/>
          <w:color w:val="0070C0"/>
        </w:rPr>
        <w:t xml:space="preserve"> reader (</w:t>
      </w:r>
      <w:proofErr w:type="spellStart"/>
      <w:r w:rsidRPr="00A063DC">
        <w:rPr>
          <w:rFonts w:ascii="Calibri" w:hAnsi="Calibri" w:cs="Arial"/>
          <w:color w:val="0070C0"/>
        </w:rPr>
        <w:t>Cytofluor</w:t>
      </w:r>
      <w:proofErr w:type="spellEnd"/>
      <w:r w:rsidRPr="00A063DC">
        <w:rPr>
          <w:rFonts w:ascii="Calibri" w:hAnsi="Calibri" w:cs="Arial"/>
          <w:color w:val="0070C0"/>
        </w:rPr>
        <w:t xml:space="preserve"> II 400 series </w:t>
      </w:r>
      <w:proofErr w:type="spellStart"/>
      <w:r w:rsidRPr="00A063DC">
        <w:rPr>
          <w:rFonts w:ascii="Calibri" w:hAnsi="Calibri" w:cs="Arial"/>
          <w:color w:val="0070C0"/>
        </w:rPr>
        <w:t>PerSeptive</w:t>
      </w:r>
      <w:proofErr w:type="spellEnd"/>
      <w:r w:rsidR="00326D6D">
        <w:rPr>
          <w:rFonts w:ascii="Calibri" w:hAnsi="Calibri" w:cs="Arial"/>
          <w:color w:val="0070C0"/>
        </w:rPr>
        <w:t xml:space="preserve"> </w:t>
      </w:r>
      <w:proofErr w:type="spellStart"/>
      <w:r w:rsidRPr="00A063DC">
        <w:rPr>
          <w:rFonts w:ascii="Calibri" w:hAnsi="Calibri" w:cs="Arial"/>
          <w:color w:val="0070C0"/>
        </w:rPr>
        <w:t>Biosystems</w:t>
      </w:r>
      <w:proofErr w:type="spellEnd"/>
      <w:r w:rsidRPr="00A063DC">
        <w:rPr>
          <w:rFonts w:ascii="Calibri" w:hAnsi="Calibri" w:cs="Arial"/>
          <w:color w:val="0070C0"/>
        </w:rPr>
        <w:t xml:space="preserve">) with excitation set at 360 nm and emission detection set at 460 nm. Reactions consisted of either 5 g of glutathione S-transferase-Sir2 or 2.5 g of SIRT1, incubated with 250 M acetylated histone substrate, 1 </w:t>
      </w:r>
      <w:proofErr w:type="spellStart"/>
      <w:r w:rsidRPr="00A063DC">
        <w:rPr>
          <w:rFonts w:ascii="Calibri" w:hAnsi="Calibri" w:cs="Arial"/>
          <w:color w:val="0070C0"/>
        </w:rPr>
        <w:t>mM</w:t>
      </w:r>
      <w:proofErr w:type="spellEnd"/>
      <w:r w:rsidR="00326D6D">
        <w:rPr>
          <w:rFonts w:ascii="Calibri" w:hAnsi="Calibri" w:cs="Arial"/>
          <w:color w:val="0070C0"/>
        </w:rPr>
        <w:t xml:space="preserve"> </w:t>
      </w:r>
      <w:proofErr w:type="spellStart"/>
      <w:r w:rsidRPr="00A063DC">
        <w:rPr>
          <w:rFonts w:ascii="Calibri" w:hAnsi="Calibri" w:cs="Arial"/>
          <w:color w:val="0070C0"/>
        </w:rPr>
        <w:t>dithiothreitol</w:t>
      </w:r>
      <w:proofErr w:type="spellEnd"/>
      <w:r w:rsidRPr="00A063DC">
        <w:rPr>
          <w:rFonts w:ascii="Calibri" w:hAnsi="Calibri" w:cs="Arial"/>
          <w:color w:val="0070C0"/>
        </w:rPr>
        <w:t>, and a range of NAD concentrations as described. Reactions with the yeast and human proteins were carried out at 30 and 37 °C, respectively, for 30 min.</w:t>
      </w:r>
    </w:p>
    <w:p w:rsidR="00A063DC" w:rsidRDefault="00A063DC" w:rsidP="00A063DC">
      <w:pPr>
        <w:pStyle w:val="NoSpacing"/>
        <w:ind w:left="720"/>
        <w:jc w:val="both"/>
        <w:rPr>
          <w:rFonts w:ascii="Calibri" w:hAnsi="Calibri" w:cs="Arial"/>
          <w:color w:val="0070C0"/>
        </w:rPr>
      </w:pPr>
      <w:r w:rsidRPr="00A063DC">
        <w:rPr>
          <w:rFonts w:ascii="Arial" w:hAnsi="Arial" w:cs="Arial"/>
          <w:color w:val="0070C0"/>
          <w:sz w:val="20"/>
          <w:szCs w:val="20"/>
        </w:rPr>
        <w:br/>
      </w:r>
      <w:proofErr w:type="spellStart"/>
      <w:r w:rsidRPr="00A063DC">
        <w:rPr>
          <w:rFonts w:ascii="Calibri" w:hAnsi="Calibri" w:cs="Arial"/>
          <w:color w:val="0070C0"/>
        </w:rPr>
        <w:t>Sauve</w:t>
      </w:r>
      <w:proofErr w:type="spellEnd"/>
      <w:r w:rsidRPr="00A063DC">
        <w:rPr>
          <w:rFonts w:ascii="Calibri" w:hAnsi="Calibri" w:cs="Arial"/>
          <w:color w:val="0070C0"/>
        </w:rPr>
        <w:t xml:space="preserve">, AA (2005) </w:t>
      </w:r>
      <w:proofErr w:type="spellStart"/>
      <w:r w:rsidRPr="00A063DC">
        <w:rPr>
          <w:rFonts w:ascii="Calibri" w:hAnsi="Calibri" w:cs="Arial"/>
          <w:color w:val="0070C0"/>
        </w:rPr>
        <w:t>Biochemsitry</w:t>
      </w:r>
      <w:proofErr w:type="spellEnd"/>
      <w:r>
        <w:rPr>
          <w:rFonts w:ascii="Calibri" w:hAnsi="Calibri" w:cs="Arial"/>
          <w:color w:val="0070C0"/>
        </w:rPr>
        <w:t>---</w:t>
      </w:r>
      <w:r w:rsidRPr="00A063DC">
        <w:rPr>
          <w:rFonts w:ascii="Calibri" w:hAnsi="Calibri" w:cs="Arial"/>
          <w:color w:val="0070C0"/>
        </w:rPr>
        <w:t xml:space="preserve">Reaction mixtures of 50 </w:t>
      </w:r>
      <w:r w:rsidRPr="00A063DC">
        <w:rPr>
          <w:rFonts w:ascii="Symbol" w:hAnsi="Symbol" w:cs="Arial"/>
          <w:color w:val="0070C0"/>
        </w:rPr>
        <w:t></w:t>
      </w:r>
      <w:r w:rsidRPr="00A063DC">
        <w:rPr>
          <w:rFonts w:ascii="Calibri" w:hAnsi="Calibri" w:cs="Arial"/>
          <w:color w:val="0070C0"/>
        </w:rPr>
        <w:t xml:space="preserve">L of 50 </w:t>
      </w:r>
      <w:proofErr w:type="spellStart"/>
      <w:r w:rsidRPr="00A063DC">
        <w:rPr>
          <w:rFonts w:ascii="Calibri" w:hAnsi="Calibri" w:cs="Arial"/>
          <w:color w:val="0070C0"/>
        </w:rPr>
        <w:t>mM</w:t>
      </w:r>
      <w:proofErr w:type="spellEnd"/>
      <w:r w:rsidRPr="00A063DC">
        <w:rPr>
          <w:rFonts w:ascii="Calibri" w:hAnsi="Calibri" w:cs="Arial"/>
          <w:color w:val="0070C0"/>
        </w:rPr>
        <w:t xml:space="preserve"> potassium phosphate (pH 7.8) containing 300 </w:t>
      </w:r>
      <w:r w:rsidRPr="00A063DC">
        <w:rPr>
          <w:rFonts w:ascii="Symbol" w:hAnsi="Symbol" w:cs="Arial"/>
          <w:color w:val="0070C0"/>
        </w:rPr>
        <w:t></w:t>
      </w:r>
      <w:proofErr w:type="gramStart"/>
      <w:r w:rsidRPr="00A063DC">
        <w:rPr>
          <w:rFonts w:ascii="Calibri" w:hAnsi="Calibri" w:cs="Arial"/>
          <w:color w:val="0070C0"/>
        </w:rPr>
        <w:t>MKKGQSTSRHK(</w:t>
      </w:r>
      <w:proofErr w:type="spellStart"/>
      <w:proofErr w:type="gramEnd"/>
      <w:r w:rsidRPr="00A063DC">
        <w:rPr>
          <w:rFonts w:ascii="Calibri" w:hAnsi="Calibri" w:cs="Arial"/>
          <w:color w:val="0070C0"/>
        </w:rPr>
        <w:t>KAc</w:t>
      </w:r>
      <w:proofErr w:type="spellEnd"/>
      <w:r w:rsidRPr="00A063DC">
        <w:rPr>
          <w:rFonts w:ascii="Calibri" w:hAnsi="Calibri" w:cs="Arial"/>
          <w:color w:val="0070C0"/>
        </w:rPr>
        <w:t xml:space="preserve">)LMFKTEG peptide and 600 </w:t>
      </w:r>
      <w:r w:rsidRPr="00A063DC">
        <w:rPr>
          <w:rFonts w:ascii="Symbol" w:hAnsi="Symbol" w:cs="Arial"/>
          <w:color w:val="0070C0"/>
        </w:rPr>
        <w:t></w:t>
      </w:r>
      <w:r w:rsidRPr="00A063DC">
        <w:rPr>
          <w:rFonts w:ascii="Calibri" w:hAnsi="Calibri" w:cs="Arial"/>
          <w:color w:val="0070C0"/>
        </w:rPr>
        <w:t xml:space="preserve">MNAD+ containing selected </w:t>
      </w:r>
      <w:proofErr w:type="spellStart"/>
      <w:r w:rsidRPr="00A063DC">
        <w:rPr>
          <w:rFonts w:ascii="Calibri" w:hAnsi="Calibri" w:cs="Arial"/>
          <w:color w:val="0070C0"/>
        </w:rPr>
        <w:t>micromolar</w:t>
      </w:r>
      <w:proofErr w:type="spellEnd"/>
      <w:r w:rsidRPr="00A063DC">
        <w:rPr>
          <w:rFonts w:ascii="Calibri" w:hAnsi="Calibri" w:cs="Arial"/>
          <w:color w:val="0070C0"/>
        </w:rPr>
        <w:t xml:space="preserve"> concentrations of [carbonyl-14C]</w:t>
      </w:r>
      <w:proofErr w:type="spellStart"/>
      <w:r w:rsidRPr="00A063DC">
        <w:rPr>
          <w:rFonts w:ascii="Calibri" w:hAnsi="Calibri" w:cs="Arial"/>
          <w:color w:val="0070C0"/>
        </w:rPr>
        <w:t>nicotinamide</w:t>
      </w:r>
      <w:proofErr w:type="spellEnd"/>
      <w:r w:rsidRPr="00A063DC">
        <w:rPr>
          <w:rFonts w:ascii="Calibri" w:hAnsi="Calibri" w:cs="Arial"/>
          <w:color w:val="0070C0"/>
        </w:rPr>
        <w:t xml:space="preserve"> at 60 </w:t>
      </w:r>
      <w:r w:rsidRPr="00A063DC">
        <w:rPr>
          <w:rFonts w:ascii="Symbol" w:hAnsi="Symbol" w:cs="Arial"/>
          <w:color w:val="0070C0"/>
        </w:rPr>
        <w:t></w:t>
      </w:r>
      <w:proofErr w:type="spellStart"/>
      <w:r w:rsidRPr="00A063DC">
        <w:rPr>
          <w:rFonts w:ascii="Calibri" w:hAnsi="Calibri" w:cs="Arial"/>
          <w:color w:val="0070C0"/>
        </w:rPr>
        <w:t>Ci</w:t>
      </w:r>
      <w:proofErr w:type="spellEnd"/>
      <w:r w:rsidRPr="00A063DC">
        <w:rPr>
          <w:rFonts w:ascii="Calibri" w:hAnsi="Calibri" w:cs="Arial"/>
          <w:color w:val="0070C0"/>
        </w:rPr>
        <w:t>/</w:t>
      </w:r>
      <w:r w:rsidRPr="00A063DC">
        <w:rPr>
          <w:rFonts w:ascii="Symbol" w:hAnsi="Symbol" w:cs="Arial"/>
          <w:color w:val="0070C0"/>
        </w:rPr>
        <w:t></w:t>
      </w:r>
      <w:proofErr w:type="spellStart"/>
      <w:r w:rsidRPr="00A063DC">
        <w:rPr>
          <w:rFonts w:ascii="Calibri" w:hAnsi="Calibri" w:cs="Arial"/>
          <w:color w:val="0070C0"/>
        </w:rPr>
        <w:t>mol</w:t>
      </w:r>
      <w:proofErr w:type="spellEnd"/>
      <w:r w:rsidRPr="00A063DC">
        <w:rPr>
          <w:rFonts w:ascii="Calibri" w:hAnsi="Calibri" w:cs="Arial"/>
          <w:color w:val="0070C0"/>
        </w:rPr>
        <w:t xml:space="preserve"> (0, 10, 20, 30, 45, 60, 80, 90, 125, 250, 360, 600, and 1200) were reacted with 1 </w:t>
      </w:r>
      <w:r w:rsidRPr="00A063DC">
        <w:rPr>
          <w:rFonts w:ascii="Symbol" w:hAnsi="Symbol" w:cs="Arial"/>
          <w:color w:val="0070C0"/>
        </w:rPr>
        <w:t></w:t>
      </w:r>
      <w:r w:rsidRPr="00A063DC">
        <w:rPr>
          <w:rFonts w:ascii="Calibri" w:hAnsi="Calibri" w:cs="Arial"/>
          <w:color w:val="0070C0"/>
        </w:rPr>
        <w:t xml:space="preserve">MSir2 enzyme added as a 1 </w:t>
      </w:r>
      <w:r w:rsidRPr="00A063DC">
        <w:rPr>
          <w:rFonts w:ascii="Symbol" w:hAnsi="Symbol" w:cs="Arial"/>
          <w:color w:val="0070C0"/>
        </w:rPr>
        <w:t></w:t>
      </w:r>
      <w:r w:rsidRPr="00A063DC">
        <w:rPr>
          <w:rFonts w:ascii="Calibri" w:hAnsi="Calibri" w:cs="Arial"/>
          <w:color w:val="0070C0"/>
        </w:rPr>
        <w:t xml:space="preserve">L addition of concentrated enzyme. After 2 h, 10 </w:t>
      </w:r>
      <w:r w:rsidRPr="00A063DC">
        <w:rPr>
          <w:rFonts w:ascii="Symbol" w:hAnsi="Symbol" w:cs="Arial"/>
          <w:color w:val="0070C0"/>
        </w:rPr>
        <w:t></w:t>
      </w:r>
      <w:r w:rsidRPr="00A063DC">
        <w:rPr>
          <w:rFonts w:ascii="Calibri" w:hAnsi="Calibri" w:cs="Arial"/>
          <w:color w:val="0070C0"/>
        </w:rPr>
        <w:t xml:space="preserve">L aliquots were removed at 0, 30, 60, 90, and 120 min. Each aliquot was combined with 50 </w:t>
      </w:r>
      <w:r w:rsidRPr="00A063DC">
        <w:rPr>
          <w:rFonts w:ascii="Symbol" w:hAnsi="Symbol" w:cs="Arial"/>
          <w:color w:val="0070C0"/>
        </w:rPr>
        <w:t></w:t>
      </w:r>
      <w:r w:rsidRPr="00A063DC">
        <w:rPr>
          <w:rFonts w:ascii="Calibri" w:hAnsi="Calibri" w:cs="Arial"/>
          <w:color w:val="0070C0"/>
        </w:rPr>
        <w:t xml:space="preserve">L of 50 </w:t>
      </w:r>
      <w:proofErr w:type="spellStart"/>
      <w:r w:rsidRPr="00A063DC">
        <w:rPr>
          <w:rFonts w:ascii="Calibri" w:hAnsi="Calibri" w:cs="Arial"/>
          <w:color w:val="0070C0"/>
        </w:rPr>
        <w:t>mM</w:t>
      </w:r>
      <w:proofErr w:type="spellEnd"/>
      <w:r w:rsidRPr="00A063DC">
        <w:rPr>
          <w:rFonts w:ascii="Calibri" w:hAnsi="Calibri" w:cs="Arial"/>
          <w:color w:val="0070C0"/>
        </w:rPr>
        <w:t xml:space="preserve"> ammonium acetate (pH 5.0) to quench and assayed by HPLC for </w:t>
      </w:r>
      <w:proofErr w:type="spellStart"/>
      <w:r w:rsidRPr="00A063DC">
        <w:rPr>
          <w:rFonts w:ascii="Calibri" w:hAnsi="Calibri" w:cs="Arial"/>
          <w:color w:val="0070C0"/>
        </w:rPr>
        <w:t>deacetylation</w:t>
      </w:r>
      <w:proofErr w:type="spellEnd"/>
      <w:r w:rsidRPr="00A063DC">
        <w:rPr>
          <w:rFonts w:ascii="Calibri" w:hAnsi="Calibri" w:cs="Arial"/>
          <w:color w:val="0070C0"/>
        </w:rPr>
        <w:t xml:space="preserve"> products and NAD+. The chromatograms (260 nm) were obtained using 50 </w:t>
      </w:r>
      <w:proofErr w:type="spellStart"/>
      <w:r w:rsidRPr="00A063DC">
        <w:rPr>
          <w:rFonts w:ascii="Calibri" w:hAnsi="Calibri" w:cs="Arial"/>
          <w:color w:val="0070C0"/>
        </w:rPr>
        <w:t>mM</w:t>
      </w:r>
      <w:proofErr w:type="spellEnd"/>
      <w:r w:rsidRPr="00A063DC">
        <w:rPr>
          <w:rFonts w:ascii="Calibri" w:hAnsi="Calibri" w:cs="Arial"/>
          <w:color w:val="0070C0"/>
        </w:rPr>
        <w:t xml:space="preserve"> ammonium acetate (pH 5.0) as the </w:t>
      </w:r>
      <w:proofErr w:type="spellStart"/>
      <w:r w:rsidRPr="00A063DC">
        <w:rPr>
          <w:rFonts w:ascii="Calibri" w:hAnsi="Calibri" w:cs="Arial"/>
          <w:color w:val="0070C0"/>
        </w:rPr>
        <w:t>eluanton</w:t>
      </w:r>
      <w:proofErr w:type="spellEnd"/>
      <w:r w:rsidRPr="00A063DC">
        <w:rPr>
          <w:rFonts w:ascii="Calibri" w:hAnsi="Calibri" w:cs="Arial"/>
          <w:color w:val="0070C0"/>
        </w:rPr>
        <w:t xml:space="preserve"> a </w:t>
      </w:r>
      <w:proofErr w:type="spellStart"/>
      <w:r w:rsidRPr="00A063DC">
        <w:rPr>
          <w:rFonts w:ascii="Calibri" w:hAnsi="Calibri" w:cs="Arial"/>
          <w:color w:val="0070C0"/>
        </w:rPr>
        <w:t>semipreparative</w:t>
      </w:r>
      <w:proofErr w:type="spellEnd"/>
      <w:r w:rsidRPr="00A063DC">
        <w:rPr>
          <w:rFonts w:ascii="Calibri" w:hAnsi="Calibri" w:cs="Arial"/>
          <w:color w:val="0070C0"/>
        </w:rPr>
        <w:t xml:space="preserve"> Waters C-18 column (flow rate of 2.0 mL/min). Peaks for ADPR and 3’-O-acetyl-ADPR were quantified by integration. The peak for NAD+ was collected and the radiation counted. Plots of rate versus </w:t>
      </w:r>
      <w:proofErr w:type="spellStart"/>
      <w:r w:rsidRPr="00A063DC">
        <w:rPr>
          <w:rFonts w:ascii="Calibri" w:hAnsi="Calibri" w:cs="Arial"/>
          <w:color w:val="0070C0"/>
        </w:rPr>
        <w:t>nicotinamide</w:t>
      </w:r>
      <w:proofErr w:type="spellEnd"/>
      <w:r w:rsidR="00326D6D">
        <w:rPr>
          <w:rFonts w:ascii="Calibri" w:hAnsi="Calibri" w:cs="Arial"/>
          <w:color w:val="0070C0"/>
        </w:rPr>
        <w:t xml:space="preserve"> </w:t>
      </w:r>
      <w:r w:rsidRPr="00A063DC">
        <w:rPr>
          <w:rFonts w:ascii="Calibri" w:hAnsi="Calibri" w:cs="Arial"/>
          <w:color w:val="0070C0"/>
        </w:rPr>
        <w:t xml:space="preserve">concentration were fit using the curve </w:t>
      </w:r>
      <w:proofErr w:type="gramStart"/>
      <w:r w:rsidRPr="00A063DC">
        <w:rPr>
          <w:rFonts w:ascii="Calibri" w:hAnsi="Calibri" w:cs="Arial"/>
          <w:color w:val="0070C0"/>
        </w:rPr>
        <w:t>V )</w:t>
      </w:r>
      <w:proofErr w:type="gramEnd"/>
      <w:r w:rsidRPr="00A063DC">
        <w:rPr>
          <w:rFonts w:ascii="Calibri" w:hAnsi="Calibri" w:cs="Arial"/>
          <w:color w:val="0070C0"/>
        </w:rPr>
        <w:t xml:space="preserve"> </w:t>
      </w:r>
      <w:proofErr w:type="spellStart"/>
      <w:r w:rsidRPr="00A063DC">
        <w:rPr>
          <w:rFonts w:ascii="Calibri" w:hAnsi="Calibri" w:cs="Arial"/>
          <w:color w:val="0070C0"/>
        </w:rPr>
        <w:t>kcat</w:t>
      </w:r>
      <w:proofErr w:type="spellEnd"/>
      <w:r w:rsidRPr="00A063DC">
        <w:rPr>
          <w:rFonts w:ascii="Calibri" w:hAnsi="Calibri" w:cs="Arial"/>
          <w:color w:val="0070C0"/>
        </w:rPr>
        <w:t xml:space="preserve">[S]/([S] + Km) with the curve-fitting feature of </w:t>
      </w:r>
      <w:proofErr w:type="spellStart"/>
      <w:r w:rsidRPr="00A063DC">
        <w:rPr>
          <w:rFonts w:ascii="Calibri" w:hAnsi="Calibri" w:cs="Arial"/>
          <w:color w:val="0070C0"/>
        </w:rPr>
        <w:t>Kaleida</w:t>
      </w:r>
      <w:proofErr w:type="spellEnd"/>
      <w:r w:rsidR="00326D6D">
        <w:rPr>
          <w:rFonts w:ascii="Calibri" w:hAnsi="Calibri" w:cs="Arial"/>
          <w:color w:val="0070C0"/>
        </w:rPr>
        <w:t xml:space="preserve"> </w:t>
      </w:r>
      <w:r w:rsidRPr="00A063DC">
        <w:rPr>
          <w:rFonts w:ascii="Calibri" w:hAnsi="Calibri" w:cs="Arial"/>
          <w:color w:val="0070C0"/>
        </w:rPr>
        <w:t xml:space="preserve">graph. Plots of </w:t>
      </w:r>
      <w:proofErr w:type="spellStart"/>
      <w:r w:rsidRPr="00A063DC">
        <w:rPr>
          <w:rFonts w:ascii="Calibri" w:hAnsi="Calibri" w:cs="Arial"/>
          <w:color w:val="0070C0"/>
        </w:rPr>
        <w:t>deacetylation</w:t>
      </w:r>
      <w:proofErr w:type="spellEnd"/>
      <w:r w:rsidRPr="00A063DC">
        <w:rPr>
          <w:rFonts w:ascii="Calibri" w:hAnsi="Calibri" w:cs="Arial"/>
          <w:color w:val="0070C0"/>
        </w:rPr>
        <w:t xml:space="preserve"> rate versus </w:t>
      </w:r>
      <w:proofErr w:type="spellStart"/>
      <w:r w:rsidRPr="00A063DC">
        <w:rPr>
          <w:rFonts w:ascii="Calibri" w:hAnsi="Calibri" w:cs="Arial"/>
          <w:color w:val="0070C0"/>
        </w:rPr>
        <w:t>nicotinamide</w:t>
      </w:r>
      <w:proofErr w:type="spellEnd"/>
      <w:r w:rsidRPr="00A063DC">
        <w:rPr>
          <w:rFonts w:ascii="Calibri" w:hAnsi="Calibri" w:cs="Arial"/>
          <w:color w:val="0070C0"/>
        </w:rPr>
        <w:t xml:space="preserve"> concentration were fit to the equations described in the text. Experiments with 2 </w:t>
      </w:r>
      <w:proofErr w:type="spellStart"/>
      <w:r w:rsidRPr="00A063DC">
        <w:rPr>
          <w:rFonts w:ascii="Calibri" w:hAnsi="Calibri" w:cs="Arial"/>
          <w:color w:val="0070C0"/>
        </w:rPr>
        <w:t>mM</w:t>
      </w:r>
      <w:proofErr w:type="spellEnd"/>
      <w:r w:rsidR="00326D6D">
        <w:rPr>
          <w:rFonts w:ascii="Calibri" w:hAnsi="Calibri" w:cs="Arial"/>
          <w:color w:val="0070C0"/>
        </w:rPr>
        <w:t xml:space="preserve"> </w:t>
      </w:r>
      <w:proofErr w:type="spellStart"/>
      <w:r w:rsidRPr="00A063DC">
        <w:rPr>
          <w:rFonts w:ascii="Calibri" w:hAnsi="Calibri" w:cs="Arial"/>
          <w:color w:val="0070C0"/>
        </w:rPr>
        <w:t>nicotinamide</w:t>
      </w:r>
      <w:proofErr w:type="spellEnd"/>
      <w:r w:rsidRPr="00A063DC">
        <w:rPr>
          <w:rFonts w:ascii="Calibri" w:hAnsi="Calibri" w:cs="Arial"/>
          <w:color w:val="0070C0"/>
        </w:rPr>
        <w:t xml:space="preserve"> established the effects of this concentration on the </w:t>
      </w:r>
      <w:proofErr w:type="spellStart"/>
      <w:r w:rsidRPr="00A063DC">
        <w:rPr>
          <w:rFonts w:ascii="Calibri" w:hAnsi="Calibri" w:cs="Arial"/>
          <w:color w:val="0070C0"/>
        </w:rPr>
        <w:t>deacetylation</w:t>
      </w:r>
      <w:proofErr w:type="spellEnd"/>
      <w:r w:rsidRPr="00A063DC">
        <w:rPr>
          <w:rFonts w:ascii="Calibri" w:hAnsi="Calibri" w:cs="Arial"/>
          <w:color w:val="0070C0"/>
        </w:rPr>
        <w:t xml:space="preserve"> and exchange activity of the Sir2 enzyme.</w:t>
      </w:r>
    </w:p>
    <w:p w:rsidR="00A063DC" w:rsidRPr="00A063DC" w:rsidRDefault="00A063DC" w:rsidP="00A063DC">
      <w:pPr>
        <w:pStyle w:val="NoSpacing"/>
        <w:numPr>
          <w:ilvl w:val="0"/>
          <w:numId w:val="5"/>
        </w:numPr>
        <w:jc w:val="both"/>
        <w:rPr>
          <w:color w:val="0070C0"/>
        </w:rPr>
      </w:pPr>
      <w:r>
        <w:rPr>
          <w:color w:val="0070C0"/>
        </w:rPr>
        <w:t>May want to show SIRT1</w:t>
      </w:r>
      <w:proofErr w:type="gramStart"/>
      <w:r>
        <w:rPr>
          <w:color w:val="0070C0"/>
        </w:rPr>
        <w:t>:isoNAM</w:t>
      </w:r>
      <w:proofErr w:type="gramEnd"/>
      <w:r>
        <w:rPr>
          <w:color w:val="0070C0"/>
        </w:rPr>
        <w:t xml:space="preserve"> data. Prefer to show them in the 2</w:t>
      </w:r>
      <w:r w:rsidRPr="00A063DC">
        <w:rPr>
          <w:color w:val="0070C0"/>
          <w:vertAlign w:val="superscript"/>
        </w:rPr>
        <w:t>nd</w:t>
      </w:r>
      <w:r>
        <w:rPr>
          <w:color w:val="0070C0"/>
        </w:rPr>
        <w:t xml:space="preserve"> paper.</w:t>
      </w:r>
    </w:p>
    <w:p w:rsidR="00495DCD" w:rsidRDefault="00495DCD" w:rsidP="00495DCD">
      <w:pPr>
        <w:pStyle w:val="NoSpacing"/>
        <w:jc w:val="both"/>
      </w:pPr>
    </w:p>
    <w:p w:rsidR="00495DCD" w:rsidRDefault="00495DCD" w:rsidP="00495DCD">
      <w:pPr>
        <w:pStyle w:val="NoSpacing"/>
        <w:jc w:val="both"/>
      </w:pPr>
      <w:r w:rsidRPr="00495DCD">
        <w:rPr>
          <w:u w:val="single"/>
        </w:rPr>
        <w:t>Minor comments</w:t>
      </w:r>
      <w:r w:rsidRPr="00495DCD">
        <w:t>:</w:t>
      </w:r>
    </w:p>
    <w:p w:rsidR="00495DCD" w:rsidRDefault="00495DCD" w:rsidP="00495DCD">
      <w:pPr>
        <w:pStyle w:val="NoSpacing"/>
        <w:jc w:val="both"/>
      </w:pPr>
      <w:r w:rsidRPr="00495DCD">
        <w:t xml:space="preserve">• It would be nice to maintain better elaboration in the text the species origin of the </w:t>
      </w:r>
      <w:proofErr w:type="spellStart"/>
      <w:r w:rsidRPr="00495DCD">
        <w:t>Sirtuins</w:t>
      </w:r>
      <w:proofErr w:type="spellEnd"/>
      <w:r w:rsidRPr="00495DCD">
        <w:t xml:space="preserve"> discussed it is not clear to all what SIRT1, Sir2 or Sir2Af2 refers to. When first introducing the term it could be helpful to elaborate more. </w:t>
      </w:r>
    </w:p>
    <w:p w:rsidR="00495DCD" w:rsidRDefault="00495DCD" w:rsidP="00495DCD">
      <w:pPr>
        <w:pStyle w:val="NoSpacing"/>
        <w:jc w:val="both"/>
      </w:pPr>
      <w:r w:rsidRPr="00495DCD">
        <w:rPr>
          <w:i/>
          <w:u w:val="single"/>
        </w:rPr>
        <w:t>Response</w:t>
      </w:r>
      <w:r>
        <w:t>:</w:t>
      </w:r>
    </w:p>
    <w:p w:rsidR="00326D6D" w:rsidRPr="00326D6D" w:rsidRDefault="00163954" w:rsidP="00326D6D">
      <w:pPr>
        <w:pStyle w:val="NoSpacing"/>
        <w:numPr>
          <w:ilvl w:val="0"/>
          <w:numId w:val="5"/>
        </w:numPr>
        <w:jc w:val="both"/>
        <w:rPr>
          <w:color w:val="0070C0"/>
        </w:rPr>
      </w:pPr>
      <w:r>
        <w:rPr>
          <w:color w:val="0070C0"/>
        </w:rPr>
        <w:lastRenderedPageBreak/>
        <w:t xml:space="preserve">Human </w:t>
      </w:r>
      <w:proofErr w:type="spellStart"/>
      <w:r>
        <w:rPr>
          <w:color w:val="0070C0"/>
        </w:rPr>
        <w:t>sirtuin</w:t>
      </w:r>
      <w:proofErr w:type="spellEnd"/>
      <w:r>
        <w:rPr>
          <w:color w:val="0070C0"/>
        </w:rPr>
        <w:t xml:space="preserve"> enzyme SIRT3 was firstly mentioned in the title. </w:t>
      </w:r>
      <w:r w:rsidR="00326D6D" w:rsidRPr="00326D6D">
        <w:rPr>
          <w:color w:val="0070C0"/>
        </w:rPr>
        <w:t xml:space="preserve">Human </w:t>
      </w:r>
      <w:proofErr w:type="spellStart"/>
      <w:r w:rsidR="00326D6D" w:rsidRPr="00326D6D">
        <w:rPr>
          <w:color w:val="0070C0"/>
        </w:rPr>
        <w:t>sirtuin</w:t>
      </w:r>
      <w:proofErr w:type="spellEnd"/>
      <w:r w:rsidR="00326D6D" w:rsidRPr="00326D6D">
        <w:rPr>
          <w:color w:val="0070C0"/>
        </w:rPr>
        <w:t xml:space="preserve"> type 3 (hereafter referred to as SIRT3 unless otherwise specified) was first introduced on Page 4.</w:t>
      </w:r>
    </w:p>
    <w:p w:rsidR="00326D6D" w:rsidRDefault="00163954" w:rsidP="00326D6D">
      <w:pPr>
        <w:pStyle w:val="NoSpacing"/>
        <w:numPr>
          <w:ilvl w:val="0"/>
          <w:numId w:val="5"/>
        </w:numPr>
        <w:jc w:val="both"/>
        <w:rPr>
          <w:color w:val="0070C0"/>
        </w:rPr>
      </w:pPr>
      <w:r>
        <w:rPr>
          <w:color w:val="0070C0"/>
        </w:rPr>
        <w:t xml:space="preserve">SIRT1, SIRT3, and Sir3 were mentioned together in the “Author Summery” on page 3. </w:t>
      </w:r>
    </w:p>
    <w:p w:rsidR="00163954" w:rsidRPr="00326D6D" w:rsidRDefault="00163954" w:rsidP="00163954">
      <w:pPr>
        <w:pStyle w:val="NoSpacing"/>
        <w:ind w:left="720"/>
        <w:jc w:val="both"/>
        <w:rPr>
          <w:color w:val="0070C0"/>
        </w:rPr>
      </w:pPr>
    </w:p>
    <w:p w:rsidR="00495DCD" w:rsidRDefault="00495DCD" w:rsidP="00495DCD">
      <w:pPr>
        <w:pStyle w:val="NoSpacing"/>
        <w:jc w:val="both"/>
      </w:pPr>
      <w:r w:rsidRPr="00326D6D">
        <w:rPr>
          <w:color w:val="0070C0"/>
        </w:rPr>
        <w:br/>
      </w:r>
      <w:r w:rsidRPr="00495DCD">
        <w:t xml:space="preserve">• On page 9 the authors mention that “Sir2-dependent silencing of the </w:t>
      </w:r>
      <w:proofErr w:type="spellStart"/>
      <w:r w:rsidRPr="00495DCD">
        <w:t>telomeric</w:t>
      </w:r>
      <w:proofErr w:type="spellEnd"/>
      <w:r w:rsidRPr="00495DCD">
        <w:t xml:space="preserve"> URA3 gene…” the citation used is the review that mentions it and not the research article. Also URA3 is not a </w:t>
      </w:r>
      <w:proofErr w:type="spellStart"/>
      <w:r w:rsidRPr="00495DCD">
        <w:t>telomeric</w:t>
      </w:r>
      <w:proofErr w:type="spellEnd"/>
      <w:r w:rsidRPr="00495DCD">
        <w:t xml:space="preserve"> gene but rather was used as a marker in a </w:t>
      </w:r>
      <w:proofErr w:type="spellStart"/>
      <w:r w:rsidRPr="00495DCD">
        <w:t>telomeric</w:t>
      </w:r>
      <w:proofErr w:type="spellEnd"/>
      <w:r w:rsidRPr="00495DCD">
        <w:t xml:space="preserve"> assay therefore this sentence is misleading and should be rewritten.</w:t>
      </w:r>
    </w:p>
    <w:p w:rsidR="00495DCD" w:rsidRDefault="00495DCD" w:rsidP="00495DCD">
      <w:pPr>
        <w:pStyle w:val="NoSpacing"/>
        <w:jc w:val="both"/>
      </w:pPr>
      <w:r w:rsidRPr="00495DCD">
        <w:rPr>
          <w:i/>
          <w:u w:val="single"/>
        </w:rPr>
        <w:t>Response</w:t>
      </w:r>
      <w:r>
        <w:t>:</w:t>
      </w:r>
    </w:p>
    <w:p w:rsidR="0051618F" w:rsidRDefault="007C2601" w:rsidP="0051618F">
      <w:pPr>
        <w:pStyle w:val="ListParagraph"/>
        <w:numPr>
          <w:ilvl w:val="0"/>
          <w:numId w:val="8"/>
        </w:numPr>
        <w:autoSpaceDE w:val="0"/>
        <w:autoSpaceDN w:val="0"/>
        <w:adjustRightInd w:val="0"/>
        <w:spacing w:after="0" w:line="240" w:lineRule="auto"/>
        <w:rPr>
          <w:color w:val="0070C0"/>
        </w:rPr>
      </w:pPr>
      <w:r w:rsidRPr="0051618F">
        <w:rPr>
          <w:color w:val="0070C0"/>
        </w:rPr>
        <w:t xml:space="preserve">The original experiments were reported </w:t>
      </w:r>
      <w:r w:rsidR="0051618F" w:rsidRPr="0051618F">
        <w:rPr>
          <w:color w:val="0070C0"/>
        </w:rPr>
        <w:t xml:space="preserve">firstly on 1991 </w:t>
      </w:r>
      <w:r w:rsidR="0051618F" w:rsidRPr="0051618F">
        <w:rPr>
          <w:color w:val="0070C0"/>
          <w:u w:val="single"/>
        </w:rPr>
        <w:t>Cell</w:t>
      </w:r>
      <w:r w:rsidR="0051618F" w:rsidRPr="0051618F">
        <w:rPr>
          <w:color w:val="0070C0"/>
        </w:rPr>
        <w:t xml:space="preserve"> paper. (</w:t>
      </w:r>
      <w:proofErr w:type="spellStart"/>
      <w:r w:rsidR="0051618F" w:rsidRPr="0051618F">
        <w:rPr>
          <w:rFonts w:cs="WarnockPro-Light"/>
          <w:color w:val="0070C0"/>
        </w:rPr>
        <w:t>Aparicio</w:t>
      </w:r>
      <w:proofErr w:type="spellEnd"/>
      <w:r w:rsidR="0051618F" w:rsidRPr="0051618F">
        <w:rPr>
          <w:rFonts w:cs="WarnockPro-Light"/>
          <w:color w:val="0070C0"/>
        </w:rPr>
        <w:t xml:space="preserve">, O. M., </w:t>
      </w:r>
      <w:proofErr w:type="spellStart"/>
      <w:r w:rsidR="0051618F" w:rsidRPr="0051618F">
        <w:rPr>
          <w:rFonts w:cs="WarnockPro-Light"/>
          <w:color w:val="0070C0"/>
        </w:rPr>
        <w:t>Billington</w:t>
      </w:r>
      <w:proofErr w:type="spellEnd"/>
      <w:r w:rsidR="0051618F" w:rsidRPr="0051618F">
        <w:rPr>
          <w:rFonts w:cs="WarnockPro-Light"/>
          <w:color w:val="0070C0"/>
        </w:rPr>
        <w:t xml:space="preserve">, B. L., and </w:t>
      </w:r>
      <w:proofErr w:type="spellStart"/>
      <w:r w:rsidR="0051618F" w:rsidRPr="0051618F">
        <w:rPr>
          <w:rFonts w:cs="WarnockPro-Light"/>
          <w:color w:val="0070C0"/>
        </w:rPr>
        <w:t>Gottschling</w:t>
      </w:r>
      <w:proofErr w:type="spellEnd"/>
      <w:r w:rsidR="0051618F" w:rsidRPr="0051618F">
        <w:rPr>
          <w:rFonts w:cs="WarnockPro-Light"/>
          <w:color w:val="0070C0"/>
        </w:rPr>
        <w:t xml:space="preserve">, D. E. (1991) Modifiers of position effect are shared between </w:t>
      </w:r>
      <w:proofErr w:type="spellStart"/>
      <w:r w:rsidR="0051618F" w:rsidRPr="0051618F">
        <w:rPr>
          <w:rFonts w:cs="WarnockPro-Light"/>
          <w:color w:val="0070C0"/>
        </w:rPr>
        <w:t>telomeric</w:t>
      </w:r>
      <w:proofErr w:type="spellEnd"/>
      <w:r w:rsidR="0051618F" w:rsidRPr="0051618F">
        <w:rPr>
          <w:rFonts w:cs="WarnockPro-Light"/>
          <w:color w:val="0070C0"/>
        </w:rPr>
        <w:t xml:space="preserve"> and silent mating-type loci in </w:t>
      </w:r>
      <w:r w:rsidR="0051618F" w:rsidRPr="0051618F">
        <w:rPr>
          <w:rFonts w:cs="WarnockPro-LightIt"/>
          <w:i/>
          <w:iCs/>
          <w:color w:val="0070C0"/>
        </w:rPr>
        <w:t xml:space="preserve">S. </w:t>
      </w:r>
      <w:proofErr w:type="spellStart"/>
      <w:r w:rsidR="0051618F" w:rsidRPr="0051618F">
        <w:rPr>
          <w:rFonts w:cs="WarnockPro-LightIt"/>
          <w:i/>
          <w:iCs/>
          <w:color w:val="0070C0"/>
        </w:rPr>
        <w:t>cerevisiae</w:t>
      </w:r>
      <w:proofErr w:type="spellEnd"/>
      <w:r w:rsidR="0051618F" w:rsidRPr="0051618F">
        <w:rPr>
          <w:rFonts w:cs="WarnockPro-Light"/>
          <w:color w:val="0070C0"/>
        </w:rPr>
        <w:t xml:space="preserve">. </w:t>
      </w:r>
      <w:r w:rsidR="0051618F" w:rsidRPr="0051618F">
        <w:rPr>
          <w:rFonts w:cs="WarnockPro-LightIt"/>
          <w:i/>
          <w:iCs/>
          <w:color w:val="0070C0"/>
        </w:rPr>
        <w:t xml:space="preserve">Cell </w:t>
      </w:r>
      <w:r w:rsidR="0051618F" w:rsidRPr="0051618F">
        <w:rPr>
          <w:rFonts w:cs="WarnockPro-Semibold"/>
          <w:color w:val="0070C0"/>
        </w:rPr>
        <w:t xml:space="preserve">66, </w:t>
      </w:r>
      <w:r w:rsidR="0051618F" w:rsidRPr="0051618F">
        <w:rPr>
          <w:rFonts w:cs="WarnockPro-Light"/>
          <w:color w:val="0070C0"/>
        </w:rPr>
        <w:t>1279–1287</w:t>
      </w:r>
      <w:r w:rsidR="0051618F">
        <w:rPr>
          <w:color w:val="0070C0"/>
        </w:rPr>
        <w:t>)</w:t>
      </w:r>
    </w:p>
    <w:p w:rsidR="007C2601" w:rsidRDefault="0051618F" w:rsidP="0051618F">
      <w:pPr>
        <w:pStyle w:val="ListParagraph"/>
        <w:numPr>
          <w:ilvl w:val="0"/>
          <w:numId w:val="8"/>
        </w:numPr>
        <w:autoSpaceDE w:val="0"/>
        <w:autoSpaceDN w:val="0"/>
        <w:adjustRightInd w:val="0"/>
        <w:spacing w:after="0" w:line="240" w:lineRule="auto"/>
        <w:rPr>
          <w:color w:val="0070C0"/>
        </w:rPr>
      </w:pPr>
      <w:r w:rsidRPr="0051618F">
        <w:rPr>
          <w:color w:val="0070C0"/>
        </w:rPr>
        <w:t xml:space="preserve">Then similar research was reported on 2000 </w:t>
      </w:r>
      <w:r w:rsidRPr="0051618F">
        <w:rPr>
          <w:color w:val="0070C0"/>
          <w:u w:val="single"/>
        </w:rPr>
        <w:t xml:space="preserve">Aging </w:t>
      </w:r>
      <w:r>
        <w:rPr>
          <w:color w:val="0070C0"/>
          <w:u w:val="single"/>
        </w:rPr>
        <w:t>C</w:t>
      </w:r>
      <w:r w:rsidRPr="0051618F">
        <w:rPr>
          <w:color w:val="0070C0"/>
          <w:u w:val="single"/>
        </w:rPr>
        <w:t>ell</w:t>
      </w:r>
      <w:r w:rsidRPr="0051618F">
        <w:rPr>
          <w:color w:val="0070C0"/>
        </w:rPr>
        <w:t xml:space="preserve"> journal. (</w:t>
      </w:r>
      <w:r w:rsidRPr="0051618F">
        <w:rPr>
          <w:rFonts w:cs="WarnockPro-Light"/>
          <w:color w:val="0070C0"/>
        </w:rPr>
        <w:t xml:space="preserve">Smith, D. L., Jr., Li, C., </w:t>
      </w:r>
      <w:proofErr w:type="spellStart"/>
      <w:r w:rsidRPr="0051618F">
        <w:rPr>
          <w:rFonts w:cs="WarnockPro-Light"/>
          <w:color w:val="0070C0"/>
        </w:rPr>
        <w:t>Matecic</w:t>
      </w:r>
      <w:proofErr w:type="spellEnd"/>
      <w:r w:rsidRPr="0051618F">
        <w:rPr>
          <w:rFonts w:cs="WarnockPro-Light"/>
          <w:color w:val="0070C0"/>
        </w:rPr>
        <w:t xml:space="preserve">, M., </w:t>
      </w:r>
      <w:proofErr w:type="spellStart"/>
      <w:r w:rsidRPr="0051618F">
        <w:rPr>
          <w:rFonts w:cs="WarnockPro-Light"/>
          <w:color w:val="0070C0"/>
        </w:rPr>
        <w:t>Maqani</w:t>
      </w:r>
      <w:proofErr w:type="spellEnd"/>
      <w:r w:rsidRPr="0051618F">
        <w:rPr>
          <w:rFonts w:cs="WarnockPro-Light"/>
          <w:color w:val="0070C0"/>
        </w:rPr>
        <w:t xml:space="preserve">, N., </w:t>
      </w:r>
      <w:proofErr w:type="spellStart"/>
      <w:r w:rsidRPr="0051618F">
        <w:rPr>
          <w:rFonts w:cs="WarnockPro-Light"/>
          <w:color w:val="0070C0"/>
        </w:rPr>
        <w:t>Bryk</w:t>
      </w:r>
      <w:proofErr w:type="spellEnd"/>
      <w:r w:rsidRPr="0051618F">
        <w:rPr>
          <w:rFonts w:cs="WarnockPro-Light"/>
          <w:color w:val="0070C0"/>
        </w:rPr>
        <w:t xml:space="preserve">, M., and Smith, J. S. (2009) Calorie restriction effects on silencing and recombination at the yeast </w:t>
      </w:r>
      <w:proofErr w:type="spellStart"/>
      <w:r w:rsidRPr="0051618F">
        <w:rPr>
          <w:rFonts w:cs="WarnockPro-Light"/>
          <w:color w:val="0070C0"/>
        </w:rPr>
        <w:t>rDNA</w:t>
      </w:r>
      <w:proofErr w:type="spellEnd"/>
      <w:r w:rsidRPr="0051618F">
        <w:rPr>
          <w:rFonts w:cs="WarnockPro-Light"/>
          <w:color w:val="0070C0"/>
        </w:rPr>
        <w:t xml:space="preserve">. </w:t>
      </w:r>
      <w:r w:rsidRPr="0051618F">
        <w:rPr>
          <w:rFonts w:cs="WarnockPro-LightIt"/>
          <w:i/>
          <w:iCs/>
          <w:color w:val="0070C0"/>
        </w:rPr>
        <w:t xml:space="preserve">Aging Cell </w:t>
      </w:r>
      <w:r w:rsidRPr="0051618F">
        <w:rPr>
          <w:rFonts w:cs="WarnockPro-Semibold"/>
          <w:color w:val="0070C0"/>
        </w:rPr>
        <w:t xml:space="preserve">8, </w:t>
      </w:r>
      <w:r w:rsidRPr="0051618F">
        <w:rPr>
          <w:rFonts w:cs="WarnockPro-Light"/>
          <w:color w:val="0070C0"/>
        </w:rPr>
        <w:t>633–642)</w:t>
      </w:r>
      <w:r w:rsidRPr="0051618F">
        <w:rPr>
          <w:color w:val="0070C0"/>
        </w:rPr>
        <w:t xml:space="preserve"> </w:t>
      </w:r>
    </w:p>
    <w:p w:rsidR="0051618F" w:rsidRPr="0051618F" w:rsidRDefault="0051618F" w:rsidP="0051618F">
      <w:pPr>
        <w:pStyle w:val="ListParagraph"/>
        <w:numPr>
          <w:ilvl w:val="0"/>
          <w:numId w:val="8"/>
        </w:numPr>
        <w:autoSpaceDE w:val="0"/>
        <w:autoSpaceDN w:val="0"/>
        <w:adjustRightInd w:val="0"/>
        <w:spacing w:after="0" w:line="240" w:lineRule="auto"/>
        <w:rPr>
          <w:color w:val="0070C0"/>
        </w:rPr>
      </w:pPr>
      <w:r w:rsidRPr="0051618F">
        <w:rPr>
          <w:color w:val="0070C0"/>
        </w:rPr>
        <w:t>In 2012 JBC paper, it was reported that “</w:t>
      </w:r>
      <w:r w:rsidRPr="0051618F">
        <w:rPr>
          <w:rFonts w:cs="WarnockPro-Regular"/>
          <w:color w:val="0070C0"/>
        </w:rPr>
        <w:t>We</w:t>
      </w:r>
      <w:r>
        <w:rPr>
          <w:rFonts w:cs="WarnockPro-Regular"/>
          <w:color w:val="0070C0"/>
        </w:rPr>
        <w:t xml:space="preserve"> </w:t>
      </w:r>
      <w:r w:rsidRPr="0051618F">
        <w:rPr>
          <w:rFonts w:cs="WarnockPro-Regular"/>
          <w:color w:val="0070C0"/>
        </w:rPr>
        <w:t>were initially interested in using</w:t>
      </w:r>
      <w:r>
        <w:rPr>
          <w:rFonts w:cs="WarnockPro-Regular"/>
          <w:color w:val="0070C0"/>
        </w:rPr>
        <w:t xml:space="preserve"> </w:t>
      </w:r>
      <w:proofErr w:type="spellStart"/>
      <w:r w:rsidRPr="0051618F">
        <w:rPr>
          <w:rFonts w:cs="WarnockPro-Regular"/>
          <w:color w:val="0070C0"/>
        </w:rPr>
        <w:t>INAMas</w:t>
      </w:r>
      <w:proofErr w:type="spellEnd"/>
      <w:r w:rsidRPr="0051618F">
        <w:rPr>
          <w:rFonts w:cs="WarnockPro-Regular"/>
          <w:color w:val="0070C0"/>
        </w:rPr>
        <w:t xml:space="preserve"> a tool to stimulate silencing and found that, with our standard SC growth medium, 25mM INAM had little effect on silencing of a </w:t>
      </w:r>
      <w:proofErr w:type="spellStart"/>
      <w:r w:rsidRPr="0051618F">
        <w:rPr>
          <w:rFonts w:cs="WarnockPro-Regular"/>
          <w:color w:val="0070C0"/>
        </w:rPr>
        <w:t>telomeric</w:t>
      </w:r>
      <w:proofErr w:type="spellEnd"/>
      <w:r w:rsidRPr="0051618F">
        <w:rPr>
          <w:rFonts w:cs="WarnockPro-Regular"/>
          <w:color w:val="0070C0"/>
        </w:rPr>
        <w:t xml:space="preserve"> </w:t>
      </w:r>
      <w:r w:rsidRPr="0051618F">
        <w:rPr>
          <w:rFonts w:cs="WarnockPro-It"/>
          <w:i/>
          <w:iCs/>
          <w:color w:val="0070C0"/>
        </w:rPr>
        <w:t xml:space="preserve">URA3 </w:t>
      </w:r>
      <w:r>
        <w:rPr>
          <w:rFonts w:cs="WarnockPro-Regular"/>
          <w:color w:val="0070C0"/>
        </w:rPr>
        <w:t>reporter gene</w:t>
      </w:r>
      <w:r w:rsidRPr="0051618F">
        <w:rPr>
          <w:rFonts w:cs="WarnockPro-Regular"/>
          <w:color w:val="0070C0"/>
        </w:rPr>
        <w:t xml:space="preserve"> or a </w:t>
      </w:r>
      <w:r w:rsidRPr="0051618F">
        <w:rPr>
          <w:rFonts w:cs="WarnockPro-It"/>
          <w:i/>
          <w:iCs/>
          <w:color w:val="0070C0"/>
        </w:rPr>
        <w:t xml:space="preserve">TRP1 </w:t>
      </w:r>
      <w:r w:rsidRPr="0051618F">
        <w:rPr>
          <w:rFonts w:cs="WarnockPro-Regular"/>
          <w:color w:val="0070C0"/>
        </w:rPr>
        <w:t xml:space="preserve">reporter integrated at the silent </w:t>
      </w:r>
      <w:r w:rsidRPr="0051618F">
        <w:rPr>
          <w:rFonts w:cs="WarnockPro-It"/>
          <w:i/>
          <w:iCs/>
          <w:color w:val="0070C0"/>
        </w:rPr>
        <w:t xml:space="preserve">HMR </w:t>
      </w:r>
      <w:r>
        <w:rPr>
          <w:rFonts w:cs="WarnockPro-Regular"/>
          <w:color w:val="0070C0"/>
        </w:rPr>
        <w:t>locus</w:t>
      </w:r>
      <w:r w:rsidRPr="0051618F">
        <w:rPr>
          <w:rFonts w:cs="WarnockPro-Regular"/>
          <w:color w:val="0070C0"/>
        </w:rPr>
        <w:t>.”</w:t>
      </w:r>
    </w:p>
    <w:p w:rsidR="00495DCD" w:rsidRDefault="00495DCD" w:rsidP="00495DCD">
      <w:pPr>
        <w:pStyle w:val="NoSpacing"/>
        <w:jc w:val="both"/>
      </w:pPr>
      <w:r w:rsidRPr="00495DCD">
        <w:br/>
        <w:t xml:space="preserve">• Throughout the text there is inconsistency in the use of “Fig” versus “Figure” low case versus capital in the panel description as well. Please change according to </w:t>
      </w:r>
      <w:proofErr w:type="spellStart"/>
      <w:r w:rsidRPr="00495DCD">
        <w:t>plos</w:t>
      </w:r>
      <w:proofErr w:type="spellEnd"/>
      <w:r w:rsidRPr="00495DCD">
        <w:t xml:space="preserve"> one stand</w:t>
      </w:r>
      <w:r>
        <w:t>ards and maintain consistency.</w:t>
      </w:r>
    </w:p>
    <w:p w:rsidR="00495DCD" w:rsidRDefault="00495DCD" w:rsidP="00495DCD">
      <w:pPr>
        <w:pStyle w:val="NoSpacing"/>
        <w:jc w:val="both"/>
      </w:pPr>
      <w:r w:rsidRPr="00495DCD">
        <w:rPr>
          <w:i/>
          <w:u w:val="single"/>
        </w:rPr>
        <w:t>Response</w:t>
      </w:r>
      <w:r>
        <w:t>:</w:t>
      </w:r>
    </w:p>
    <w:p w:rsidR="00495DCD" w:rsidRDefault="0051618F" w:rsidP="0051618F">
      <w:pPr>
        <w:pStyle w:val="NoSpacing"/>
        <w:numPr>
          <w:ilvl w:val="0"/>
          <w:numId w:val="9"/>
        </w:numPr>
        <w:jc w:val="both"/>
        <w:rPr>
          <w:color w:val="0070C0"/>
        </w:rPr>
      </w:pPr>
      <w:r>
        <w:rPr>
          <w:color w:val="0070C0"/>
        </w:rPr>
        <w:t xml:space="preserve">Search for Fig/Figure and make changes to keep </w:t>
      </w:r>
      <w:r w:rsidR="00DA0BC8">
        <w:rPr>
          <w:color w:val="0070C0"/>
        </w:rPr>
        <w:t>consistency</w:t>
      </w:r>
      <w:r>
        <w:rPr>
          <w:color w:val="0070C0"/>
        </w:rPr>
        <w:t>.</w:t>
      </w:r>
    </w:p>
    <w:p w:rsidR="0051618F" w:rsidRPr="0051618F" w:rsidRDefault="0051618F" w:rsidP="0051618F">
      <w:pPr>
        <w:pStyle w:val="NoSpacing"/>
        <w:ind w:left="720"/>
        <w:jc w:val="both"/>
        <w:rPr>
          <w:color w:val="0070C0"/>
        </w:rPr>
      </w:pPr>
    </w:p>
    <w:p w:rsidR="00495DCD" w:rsidRDefault="00495DCD" w:rsidP="00495DCD">
      <w:pPr>
        <w:pStyle w:val="NoSpacing"/>
        <w:jc w:val="both"/>
      </w:pPr>
      <w:r w:rsidRPr="00495DCD">
        <w:rPr>
          <w:b/>
        </w:rPr>
        <w:t>Reviewer #3</w:t>
      </w:r>
      <w:r w:rsidRPr="00495DCD">
        <w:t xml:space="preserve"> </w:t>
      </w:r>
    </w:p>
    <w:p w:rsidR="00495DCD" w:rsidRDefault="00495DCD" w:rsidP="00495DCD">
      <w:pPr>
        <w:pStyle w:val="NoSpacing"/>
        <w:jc w:val="both"/>
      </w:pPr>
      <w:r w:rsidRPr="00495DCD">
        <w:t xml:space="preserve">It is well known that the structure of </w:t>
      </w:r>
      <w:proofErr w:type="spellStart"/>
      <w:r w:rsidRPr="00495DCD">
        <w:t>sirtuin</w:t>
      </w:r>
      <w:proofErr w:type="spellEnd"/>
      <w:r w:rsidRPr="00495DCD">
        <w:t xml:space="preserve"> substrates and specifically </w:t>
      </w:r>
      <w:proofErr w:type="spellStart"/>
      <w:r w:rsidRPr="00495DCD">
        <w:t>fluorophore</w:t>
      </w:r>
      <w:proofErr w:type="spellEnd"/>
      <w:r w:rsidRPr="00495DCD">
        <w:t xml:space="preserve"> </w:t>
      </w:r>
      <w:proofErr w:type="spellStart"/>
      <w:r w:rsidRPr="00495DCD">
        <w:t>labelled</w:t>
      </w:r>
      <w:proofErr w:type="spellEnd"/>
      <w:r w:rsidRPr="00495DCD">
        <w:t xml:space="preserve"> substrates may mislead </w:t>
      </w:r>
      <w:proofErr w:type="spellStart"/>
      <w:r w:rsidRPr="00495DCD">
        <w:t>sirtuin</w:t>
      </w:r>
      <w:proofErr w:type="spellEnd"/>
      <w:r w:rsidRPr="00495DCD">
        <w:t xml:space="preserve"> modulator research. Therefore kinetic analyses must be performed using </w:t>
      </w:r>
      <w:proofErr w:type="spellStart"/>
      <w:r w:rsidRPr="00495DCD">
        <w:t>unlabelled</w:t>
      </w:r>
      <w:proofErr w:type="spellEnd"/>
      <w:r w:rsidRPr="00495DCD">
        <w:t xml:space="preserve"> substrates and e.g. an HPLC assay. Thus, the whole basis of the interpretation is questionable and I cannot recommend the paper for a revision.</w:t>
      </w:r>
    </w:p>
    <w:p w:rsidR="00495DCD" w:rsidRDefault="00495DCD" w:rsidP="00495DCD">
      <w:pPr>
        <w:pStyle w:val="NoSpacing"/>
        <w:jc w:val="both"/>
      </w:pPr>
      <w:r w:rsidRPr="00495DCD">
        <w:rPr>
          <w:i/>
          <w:u w:val="single"/>
        </w:rPr>
        <w:t>Response</w:t>
      </w:r>
      <w:r>
        <w:t>:</w:t>
      </w:r>
      <w:r w:rsidR="00A063DC" w:rsidRPr="00A063DC">
        <w:rPr>
          <w:rFonts w:cs="Arial"/>
          <w:b/>
          <w:i/>
          <w:u w:val="single"/>
        </w:rPr>
        <w:t xml:space="preserve"> </w:t>
      </w:r>
    </w:p>
    <w:p w:rsidR="00A063DC" w:rsidRPr="00A063DC" w:rsidRDefault="00A063DC" w:rsidP="00A063DC">
      <w:pPr>
        <w:pStyle w:val="NoSpacing"/>
        <w:numPr>
          <w:ilvl w:val="0"/>
          <w:numId w:val="5"/>
        </w:numPr>
        <w:jc w:val="both"/>
        <w:rPr>
          <w:color w:val="0070C0"/>
          <w:sz w:val="20"/>
          <w:szCs w:val="20"/>
        </w:rPr>
      </w:pPr>
      <w:r w:rsidRPr="00A063DC">
        <w:rPr>
          <w:b/>
          <w:bCs/>
          <w:color w:val="0070C0"/>
          <w:sz w:val="20"/>
          <w:szCs w:val="20"/>
        </w:rPr>
        <w:t xml:space="preserve">In 2013 PNAS paper, a continuous assay and a </w:t>
      </w:r>
      <w:proofErr w:type="spellStart"/>
      <w:r w:rsidRPr="00A063DC">
        <w:rPr>
          <w:b/>
          <w:bCs/>
          <w:color w:val="0070C0"/>
          <w:sz w:val="20"/>
          <w:szCs w:val="20"/>
        </w:rPr>
        <w:t>nonmodified</w:t>
      </w:r>
      <w:proofErr w:type="spellEnd"/>
      <w:r w:rsidRPr="00A063DC">
        <w:rPr>
          <w:b/>
          <w:bCs/>
          <w:color w:val="0070C0"/>
          <w:sz w:val="20"/>
          <w:szCs w:val="20"/>
        </w:rPr>
        <w:t xml:space="preserve"> peptides were applied for the measurement of IC50 of EX527 for SIRT1 and Sir2Tm. The IC50 values from continuous assay were in agreement with the </w:t>
      </w:r>
      <w:proofErr w:type="spellStart"/>
      <w:r w:rsidRPr="00A063DC">
        <w:rPr>
          <w:b/>
          <w:bCs/>
          <w:color w:val="0070C0"/>
          <w:sz w:val="20"/>
          <w:szCs w:val="20"/>
        </w:rPr>
        <w:t>FdL</w:t>
      </w:r>
      <w:proofErr w:type="spellEnd"/>
      <w:r w:rsidRPr="00A063DC">
        <w:rPr>
          <w:b/>
          <w:bCs/>
          <w:color w:val="0070C0"/>
          <w:sz w:val="20"/>
          <w:szCs w:val="20"/>
        </w:rPr>
        <w:t xml:space="preserve"> values.</w:t>
      </w:r>
    </w:p>
    <w:p w:rsidR="00A063DC" w:rsidRPr="00A063DC" w:rsidRDefault="00A063DC" w:rsidP="00A063DC">
      <w:pPr>
        <w:pStyle w:val="NoSpacing"/>
        <w:ind w:left="720"/>
        <w:rPr>
          <w:color w:val="0070C0"/>
          <w:sz w:val="20"/>
          <w:szCs w:val="20"/>
        </w:rPr>
      </w:pPr>
      <w:proofErr w:type="spellStart"/>
      <w:r w:rsidRPr="00A063DC">
        <w:rPr>
          <w:b/>
          <w:bCs/>
          <w:color w:val="0070C0"/>
          <w:sz w:val="20"/>
          <w:szCs w:val="20"/>
          <w:u w:val="single"/>
        </w:rPr>
        <w:t>Gertza</w:t>
      </w:r>
      <w:proofErr w:type="gramStart"/>
      <w:r w:rsidRPr="00A063DC">
        <w:rPr>
          <w:b/>
          <w:bCs/>
          <w:color w:val="0070C0"/>
          <w:sz w:val="20"/>
          <w:szCs w:val="20"/>
          <w:u w:val="single"/>
        </w:rPr>
        <w:t>,M</w:t>
      </w:r>
      <w:proofErr w:type="spellEnd"/>
      <w:proofErr w:type="gramEnd"/>
      <w:r w:rsidRPr="00A063DC">
        <w:rPr>
          <w:b/>
          <w:bCs/>
          <w:color w:val="0070C0"/>
          <w:sz w:val="20"/>
          <w:szCs w:val="20"/>
          <w:u w:val="single"/>
        </w:rPr>
        <w:t xml:space="preserve">; </w:t>
      </w:r>
      <w:proofErr w:type="spellStart"/>
      <w:r w:rsidRPr="00A063DC">
        <w:rPr>
          <w:b/>
          <w:bCs/>
          <w:color w:val="0070C0"/>
          <w:sz w:val="20"/>
          <w:szCs w:val="20"/>
          <w:u w:val="single"/>
        </w:rPr>
        <w:t>Fischera,F</w:t>
      </w:r>
      <w:proofErr w:type="spellEnd"/>
      <w:r w:rsidRPr="00A063DC">
        <w:rPr>
          <w:b/>
          <w:bCs/>
          <w:color w:val="0070C0"/>
          <w:sz w:val="20"/>
          <w:szCs w:val="20"/>
          <w:u w:val="single"/>
        </w:rPr>
        <w:t xml:space="preserve">; </w:t>
      </w:r>
      <w:proofErr w:type="spellStart"/>
      <w:r w:rsidRPr="00A063DC">
        <w:rPr>
          <w:b/>
          <w:bCs/>
          <w:color w:val="0070C0"/>
          <w:sz w:val="20"/>
          <w:szCs w:val="20"/>
          <w:u w:val="single"/>
        </w:rPr>
        <w:t>Nguyena</w:t>
      </w:r>
      <w:proofErr w:type="spellEnd"/>
      <w:r w:rsidRPr="00A063DC">
        <w:rPr>
          <w:b/>
          <w:bCs/>
          <w:color w:val="0070C0"/>
          <w:sz w:val="20"/>
          <w:szCs w:val="20"/>
          <w:u w:val="single"/>
        </w:rPr>
        <w:t xml:space="preserve">, GTT; et al. (2013) Ex-527 inhibits </w:t>
      </w:r>
      <w:proofErr w:type="spellStart"/>
      <w:r w:rsidRPr="00A063DC">
        <w:rPr>
          <w:b/>
          <w:bCs/>
          <w:color w:val="0070C0"/>
          <w:sz w:val="20"/>
          <w:szCs w:val="20"/>
          <w:u w:val="single"/>
        </w:rPr>
        <w:t>Sirtuins</w:t>
      </w:r>
      <w:proofErr w:type="spellEnd"/>
      <w:r w:rsidRPr="00A063DC">
        <w:rPr>
          <w:b/>
          <w:bCs/>
          <w:color w:val="0070C0"/>
          <w:sz w:val="20"/>
          <w:szCs w:val="20"/>
          <w:u w:val="single"/>
        </w:rPr>
        <w:t xml:space="preserve"> by exploiting their unique NAD</w:t>
      </w:r>
      <w:r w:rsidRPr="00A063DC">
        <w:rPr>
          <w:b/>
          <w:bCs/>
          <w:color w:val="0070C0"/>
          <w:sz w:val="20"/>
          <w:szCs w:val="20"/>
          <w:u w:val="single"/>
          <w:vertAlign w:val="superscript"/>
        </w:rPr>
        <w:t>+</w:t>
      </w:r>
      <w:r w:rsidRPr="00A063DC">
        <w:rPr>
          <w:b/>
          <w:bCs/>
          <w:color w:val="0070C0"/>
          <w:sz w:val="20"/>
          <w:szCs w:val="20"/>
          <w:u w:val="single"/>
        </w:rPr>
        <w:t xml:space="preserve">-dependent </w:t>
      </w:r>
      <w:proofErr w:type="spellStart"/>
      <w:r w:rsidRPr="00A063DC">
        <w:rPr>
          <w:b/>
          <w:bCs/>
          <w:color w:val="0070C0"/>
          <w:sz w:val="20"/>
          <w:szCs w:val="20"/>
          <w:u w:val="single"/>
        </w:rPr>
        <w:t>deacetylation</w:t>
      </w:r>
      <w:proofErr w:type="spellEnd"/>
      <w:r w:rsidRPr="00A063DC">
        <w:rPr>
          <w:b/>
          <w:bCs/>
          <w:color w:val="0070C0"/>
          <w:sz w:val="20"/>
          <w:szCs w:val="20"/>
          <w:u w:val="single"/>
        </w:rPr>
        <w:t xml:space="preserve"> mechanism. </w:t>
      </w:r>
      <w:proofErr w:type="gramStart"/>
      <w:r w:rsidRPr="00A063DC">
        <w:rPr>
          <w:b/>
          <w:bCs/>
          <w:color w:val="0070C0"/>
          <w:sz w:val="20"/>
          <w:szCs w:val="20"/>
          <w:u w:val="single"/>
        </w:rPr>
        <w:t>PNAS, E2772–E2781.</w:t>
      </w:r>
      <w:proofErr w:type="gramEnd"/>
    </w:p>
    <w:p w:rsidR="00A063DC" w:rsidRDefault="00A063DC" w:rsidP="00A063DC">
      <w:pPr>
        <w:pStyle w:val="NoSpacing"/>
        <w:ind w:left="720"/>
        <w:jc w:val="both"/>
        <w:rPr>
          <w:color w:val="0070C0"/>
          <w:sz w:val="20"/>
          <w:szCs w:val="20"/>
        </w:rPr>
      </w:pPr>
      <w:r w:rsidRPr="00A063DC">
        <w:rPr>
          <w:color w:val="0070C0"/>
          <w:sz w:val="20"/>
          <w:szCs w:val="20"/>
        </w:rPr>
        <w:t xml:space="preserve">“Ex-527 Is a Selective </w:t>
      </w:r>
      <w:proofErr w:type="spellStart"/>
      <w:r w:rsidRPr="00A063DC">
        <w:rPr>
          <w:color w:val="0070C0"/>
          <w:sz w:val="20"/>
          <w:szCs w:val="20"/>
        </w:rPr>
        <w:t>Sirtuin</w:t>
      </w:r>
      <w:proofErr w:type="spellEnd"/>
      <w:r w:rsidRPr="00A063DC">
        <w:rPr>
          <w:color w:val="0070C0"/>
          <w:sz w:val="20"/>
          <w:szCs w:val="20"/>
        </w:rPr>
        <w:t xml:space="preserve"> Inhibitor and Requires NAD+ for Inhibition. A first kinetic analysis of Sirt1 inhibition by Ex-527 was done with the Fluor-de-Lys (</w:t>
      </w:r>
      <w:proofErr w:type="spellStart"/>
      <w:r w:rsidRPr="00A063DC">
        <w:rPr>
          <w:color w:val="0070C0"/>
          <w:sz w:val="20"/>
          <w:szCs w:val="20"/>
        </w:rPr>
        <w:t>FdL</w:t>
      </w:r>
      <w:proofErr w:type="spellEnd"/>
      <w:r w:rsidRPr="00A063DC">
        <w:rPr>
          <w:color w:val="0070C0"/>
          <w:sz w:val="20"/>
          <w:szCs w:val="20"/>
        </w:rPr>
        <w:t xml:space="preserve">) substrate, a peptide carrying a </w:t>
      </w:r>
      <w:proofErr w:type="spellStart"/>
      <w:r w:rsidRPr="00A063DC">
        <w:rPr>
          <w:color w:val="0070C0"/>
          <w:sz w:val="20"/>
          <w:szCs w:val="20"/>
        </w:rPr>
        <w:t>fluorophore</w:t>
      </w:r>
      <w:proofErr w:type="spellEnd"/>
      <w:r w:rsidRPr="00A063DC">
        <w:rPr>
          <w:color w:val="0070C0"/>
          <w:sz w:val="20"/>
          <w:szCs w:val="20"/>
        </w:rPr>
        <w:t xml:space="preserve"> that potentially causes artifacts. To investigate the molecular inhibition mechanism, we first tested selectivity and kinetics using a continuous assay and </w:t>
      </w:r>
      <w:proofErr w:type="spellStart"/>
      <w:r w:rsidRPr="00A063DC">
        <w:rPr>
          <w:color w:val="0070C0"/>
          <w:sz w:val="20"/>
          <w:szCs w:val="20"/>
        </w:rPr>
        <w:t>nonmodified</w:t>
      </w:r>
      <w:proofErr w:type="spellEnd"/>
      <w:r w:rsidRPr="00A063DC">
        <w:rPr>
          <w:color w:val="0070C0"/>
          <w:sz w:val="20"/>
          <w:szCs w:val="20"/>
        </w:rPr>
        <w:t xml:space="preserve"> peptides derived from physiological substrates for Sirt1 (p53), Sirt3 [acetyl-CoA </w:t>
      </w:r>
      <w:proofErr w:type="spellStart"/>
      <w:r w:rsidRPr="00A063DC">
        <w:rPr>
          <w:color w:val="0070C0"/>
          <w:sz w:val="20"/>
          <w:szCs w:val="20"/>
        </w:rPr>
        <w:t>synthetase</w:t>
      </w:r>
      <w:proofErr w:type="spellEnd"/>
      <w:r w:rsidRPr="00A063DC">
        <w:rPr>
          <w:color w:val="0070C0"/>
          <w:sz w:val="20"/>
          <w:szCs w:val="20"/>
        </w:rPr>
        <w:t xml:space="preserve"> 2 (ACS2)], and Sirt5 [</w:t>
      </w:r>
      <w:proofErr w:type="spellStart"/>
      <w:r w:rsidRPr="00A063DC">
        <w:rPr>
          <w:color w:val="0070C0"/>
          <w:sz w:val="20"/>
          <w:szCs w:val="20"/>
        </w:rPr>
        <w:t>carbamoyl</w:t>
      </w:r>
      <w:proofErr w:type="spellEnd"/>
      <w:r w:rsidRPr="00A063DC">
        <w:rPr>
          <w:color w:val="0070C0"/>
          <w:sz w:val="20"/>
          <w:szCs w:val="20"/>
        </w:rPr>
        <w:t xml:space="preserve"> phosphate </w:t>
      </w:r>
      <w:proofErr w:type="spellStart"/>
      <w:r w:rsidRPr="00A063DC">
        <w:rPr>
          <w:color w:val="0070C0"/>
          <w:sz w:val="20"/>
          <w:szCs w:val="20"/>
        </w:rPr>
        <w:t>synthethase</w:t>
      </w:r>
      <w:proofErr w:type="spellEnd"/>
      <w:r w:rsidRPr="00A063DC">
        <w:rPr>
          <w:color w:val="0070C0"/>
          <w:sz w:val="20"/>
          <w:szCs w:val="20"/>
        </w:rPr>
        <w:t xml:space="preserve"> 1 (CPS1)]. Because inhibition was proposed to be uncompetitive with NAD+, we adjusted NAD+ concentrations according to the respective KM values to allow comparisons. The IC50 values are 0.09 ± 0.03 </w:t>
      </w:r>
      <w:proofErr w:type="spellStart"/>
      <w:r w:rsidRPr="00A063DC">
        <w:rPr>
          <w:color w:val="0070C0"/>
          <w:sz w:val="20"/>
          <w:szCs w:val="20"/>
        </w:rPr>
        <w:t>μM</w:t>
      </w:r>
      <w:proofErr w:type="spellEnd"/>
      <w:r w:rsidRPr="00A063DC">
        <w:rPr>
          <w:color w:val="0070C0"/>
          <w:sz w:val="20"/>
          <w:szCs w:val="20"/>
        </w:rPr>
        <w:t xml:space="preserve"> for Sirt1 and 22.4 ± 2.7 </w:t>
      </w:r>
      <w:proofErr w:type="spellStart"/>
      <w:r w:rsidRPr="00A063DC">
        <w:rPr>
          <w:color w:val="0070C0"/>
          <w:sz w:val="20"/>
          <w:szCs w:val="20"/>
        </w:rPr>
        <w:t>μM</w:t>
      </w:r>
      <w:proofErr w:type="spellEnd"/>
      <w:r w:rsidRPr="00A063DC">
        <w:rPr>
          <w:color w:val="0070C0"/>
          <w:sz w:val="20"/>
          <w:szCs w:val="20"/>
        </w:rPr>
        <w:t xml:space="preserve"> for Sirt3 (Fig. 1C), in agreement with the </w:t>
      </w:r>
      <w:proofErr w:type="spellStart"/>
      <w:r w:rsidRPr="00A063DC">
        <w:rPr>
          <w:color w:val="0070C0"/>
          <w:sz w:val="20"/>
          <w:szCs w:val="20"/>
        </w:rPr>
        <w:t>FdL</w:t>
      </w:r>
      <w:proofErr w:type="spellEnd"/>
      <w:r w:rsidRPr="00A063DC">
        <w:rPr>
          <w:color w:val="0070C0"/>
          <w:sz w:val="20"/>
          <w:szCs w:val="20"/>
        </w:rPr>
        <w:t xml:space="preserve"> values (0.1 and 49 </w:t>
      </w:r>
      <w:proofErr w:type="spellStart"/>
      <w:r w:rsidRPr="00A063DC">
        <w:rPr>
          <w:color w:val="0070C0"/>
          <w:sz w:val="20"/>
          <w:szCs w:val="20"/>
        </w:rPr>
        <w:t>μM</w:t>
      </w:r>
      <w:proofErr w:type="spellEnd"/>
      <w:r w:rsidRPr="00A063DC">
        <w:rPr>
          <w:color w:val="0070C0"/>
          <w:sz w:val="20"/>
          <w:szCs w:val="20"/>
        </w:rPr>
        <w:t xml:space="preserve">, </w:t>
      </w:r>
      <w:proofErr w:type="spellStart"/>
      <w:r w:rsidRPr="00A063DC">
        <w:rPr>
          <w:color w:val="0070C0"/>
          <w:sz w:val="20"/>
          <w:szCs w:val="20"/>
        </w:rPr>
        <w:t>respectively_</w:t>
      </w:r>
      <w:r w:rsidRPr="00A063DC">
        <w:rPr>
          <w:i/>
          <w:iCs/>
          <w:color w:val="0070C0"/>
          <w:sz w:val="20"/>
          <w:szCs w:val="20"/>
          <w:u w:val="single"/>
        </w:rPr>
        <w:t>Napper</w:t>
      </w:r>
      <w:proofErr w:type="spellEnd"/>
      <w:r w:rsidRPr="00A063DC">
        <w:rPr>
          <w:i/>
          <w:iCs/>
          <w:color w:val="0070C0"/>
          <w:sz w:val="20"/>
          <w:szCs w:val="20"/>
          <w:u w:val="single"/>
        </w:rPr>
        <w:t xml:space="preserve"> AD, et al. (2005) Discovery of </w:t>
      </w:r>
      <w:proofErr w:type="spellStart"/>
      <w:r w:rsidRPr="00A063DC">
        <w:rPr>
          <w:i/>
          <w:iCs/>
          <w:color w:val="0070C0"/>
          <w:sz w:val="20"/>
          <w:szCs w:val="20"/>
          <w:u w:val="single"/>
        </w:rPr>
        <w:t>indoles</w:t>
      </w:r>
      <w:proofErr w:type="spellEnd"/>
      <w:r w:rsidRPr="00A063DC">
        <w:rPr>
          <w:i/>
          <w:iCs/>
          <w:color w:val="0070C0"/>
          <w:sz w:val="20"/>
          <w:szCs w:val="20"/>
          <w:u w:val="single"/>
        </w:rPr>
        <w:t xml:space="preserve"> as potent and selective inhibitors of the </w:t>
      </w:r>
      <w:proofErr w:type="spellStart"/>
      <w:r w:rsidRPr="00A063DC">
        <w:rPr>
          <w:i/>
          <w:iCs/>
          <w:color w:val="0070C0"/>
          <w:sz w:val="20"/>
          <w:szCs w:val="20"/>
          <w:u w:val="single"/>
        </w:rPr>
        <w:t>deacetylase</w:t>
      </w:r>
      <w:proofErr w:type="spellEnd"/>
      <w:r w:rsidRPr="00A063DC">
        <w:rPr>
          <w:i/>
          <w:iCs/>
          <w:color w:val="0070C0"/>
          <w:sz w:val="20"/>
          <w:szCs w:val="20"/>
          <w:u w:val="single"/>
        </w:rPr>
        <w:t xml:space="preserve"> SIRT1. J Med </w:t>
      </w:r>
      <w:proofErr w:type="spellStart"/>
      <w:r w:rsidRPr="00A063DC">
        <w:rPr>
          <w:i/>
          <w:iCs/>
          <w:color w:val="0070C0"/>
          <w:sz w:val="20"/>
          <w:szCs w:val="20"/>
          <w:u w:val="single"/>
        </w:rPr>
        <w:t>Chem</w:t>
      </w:r>
      <w:proofErr w:type="spellEnd"/>
      <w:r w:rsidRPr="00A063DC">
        <w:rPr>
          <w:i/>
          <w:iCs/>
          <w:color w:val="0070C0"/>
          <w:sz w:val="20"/>
          <w:szCs w:val="20"/>
          <w:u w:val="single"/>
        </w:rPr>
        <w:t xml:space="preserve"> 48(25):8045–8054</w:t>
      </w:r>
      <w:r w:rsidRPr="00A063DC">
        <w:rPr>
          <w:color w:val="0070C0"/>
          <w:sz w:val="20"/>
          <w:szCs w:val="20"/>
        </w:rPr>
        <w:t xml:space="preserve">.). Because Sirt1 crystals became available only recently, we included the bacterial homolog Sir2 from </w:t>
      </w:r>
      <w:proofErr w:type="spellStart"/>
      <w:r w:rsidRPr="00A063DC">
        <w:rPr>
          <w:color w:val="0070C0"/>
          <w:sz w:val="20"/>
          <w:szCs w:val="20"/>
        </w:rPr>
        <w:t>Thermotoga</w:t>
      </w:r>
      <w:proofErr w:type="spellEnd"/>
      <w:r w:rsidRPr="00A063DC">
        <w:rPr>
          <w:color w:val="0070C0"/>
          <w:sz w:val="20"/>
          <w:szCs w:val="20"/>
        </w:rPr>
        <w:t xml:space="preserve"> </w:t>
      </w:r>
      <w:proofErr w:type="spellStart"/>
      <w:r w:rsidRPr="00A063DC">
        <w:rPr>
          <w:color w:val="0070C0"/>
          <w:sz w:val="20"/>
          <w:szCs w:val="20"/>
        </w:rPr>
        <w:t>maritima</w:t>
      </w:r>
      <w:proofErr w:type="spellEnd"/>
      <w:r w:rsidRPr="00A063DC">
        <w:rPr>
          <w:color w:val="0070C0"/>
          <w:sz w:val="20"/>
          <w:szCs w:val="20"/>
        </w:rPr>
        <w:t xml:space="preserve"> (Sir2Tm) in our investigation. Sir2Tm was efficiently inhibited by Ex-527 (IC50 0.9 ± 0.3; Fig. 1C), and we thus used it as a representative of the </w:t>
      </w:r>
      <w:r w:rsidRPr="00A063DC">
        <w:rPr>
          <w:color w:val="0070C0"/>
          <w:sz w:val="20"/>
          <w:szCs w:val="20"/>
        </w:rPr>
        <w:lastRenderedPageBreak/>
        <w:t xml:space="preserve">potently inhibited </w:t>
      </w:r>
      <w:proofErr w:type="spellStart"/>
      <w:r w:rsidRPr="00A063DC">
        <w:rPr>
          <w:color w:val="0070C0"/>
          <w:sz w:val="20"/>
          <w:szCs w:val="20"/>
        </w:rPr>
        <w:t>Sirtuins</w:t>
      </w:r>
      <w:proofErr w:type="spellEnd"/>
      <w:r w:rsidRPr="00A063DC">
        <w:rPr>
          <w:color w:val="0070C0"/>
          <w:sz w:val="20"/>
          <w:szCs w:val="20"/>
        </w:rPr>
        <w:t xml:space="preserve"> for structural studies. Furthermore, Ex-527 had no pronounced effect on Sirt5-dependent </w:t>
      </w:r>
      <w:proofErr w:type="spellStart"/>
      <w:r w:rsidRPr="00A063DC">
        <w:rPr>
          <w:color w:val="0070C0"/>
          <w:sz w:val="20"/>
          <w:szCs w:val="20"/>
        </w:rPr>
        <w:t>deacetylation</w:t>
      </w:r>
      <w:proofErr w:type="spellEnd"/>
      <w:r w:rsidRPr="00A063DC">
        <w:rPr>
          <w:color w:val="0070C0"/>
          <w:sz w:val="20"/>
          <w:szCs w:val="20"/>
        </w:rPr>
        <w:t xml:space="preserve">, </w:t>
      </w:r>
      <w:r w:rsidRPr="00A063DC">
        <w:rPr>
          <w:b/>
          <w:bCs/>
          <w:color w:val="0070C0"/>
          <w:sz w:val="20"/>
          <w:szCs w:val="20"/>
        </w:rPr>
        <w:t xml:space="preserve">consistent with </w:t>
      </w:r>
      <w:proofErr w:type="spellStart"/>
      <w:r w:rsidRPr="00A063DC">
        <w:rPr>
          <w:b/>
          <w:bCs/>
          <w:color w:val="0070C0"/>
          <w:sz w:val="20"/>
          <w:szCs w:val="20"/>
        </w:rPr>
        <w:t>FdL</w:t>
      </w:r>
      <w:proofErr w:type="spellEnd"/>
      <w:r w:rsidRPr="00A063DC">
        <w:rPr>
          <w:b/>
          <w:bCs/>
          <w:color w:val="0070C0"/>
          <w:sz w:val="20"/>
          <w:szCs w:val="20"/>
        </w:rPr>
        <w:t xml:space="preserve"> tests </w:t>
      </w:r>
      <w:r w:rsidRPr="00A063DC">
        <w:rPr>
          <w:i/>
          <w:iCs/>
          <w:color w:val="0070C0"/>
          <w:sz w:val="20"/>
          <w:szCs w:val="20"/>
          <w:u w:val="single"/>
        </w:rPr>
        <w:t xml:space="preserve">(Solomon JM, et al. (2006) Inhibition of SIRT1 catalytic activity increases p53 acetylation but does not alter cell survival following DNA damage. </w:t>
      </w:r>
      <w:proofErr w:type="spellStart"/>
      <w:r w:rsidRPr="00A063DC">
        <w:rPr>
          <w:i/>
          <w:iCs/>
          <w:color w:val="0070C0"/>
          <w:sz w:val="20"/>
          <w:szCs w:val="20"/>
          <w:u w:val="single"/>
        </w:rPr>
        <w:t>Mol</w:t>
      </w:r>
      <w:proofErr w:type="spellEnd"/>
      <w:r w:rsidRPr="00A063DC">
        <w:rPr>
          <w:i/>
          <w:iCs/>
          <w:color w:val="0070C0"/>
          <w:sz w:val="20"/>
          <w:szCs w:val="20"/>
          <w:u w:val="single"/>
        </w:rPr>
        <w:t xml:space="preserve"> Cell </w:t>
      </w:r>
      <w:proofErr w:type="spellStart"/>
      <w:r w:rsidRPr="00A063DC">
        <w:rPr>
          <w:i/>
          <w:iCs/>
          <w:color w:val="0070C0"/>
          <w:sz w:val="20"/>
          <w:szCs w:val="20"/>
          <w:u w:val="single"/>
        </w:rPr>
        <w:t>Biol</w:t>
      </w:r>
      <w:proofErr w:type="spellEnd"/>
      <w:r w:rsidRPr="00A063DC">
        <w:rPr>
          <w:i/>
          <w:iCs/>
          <w:color w:val="0070C0"/>
          <w:sz w:val="20"/>
          <w:szCs w:val="20"/>
          <w:u w:val="single"/>
        </w:rPr>
        <w:t xml:space="preserve"> 26(1):28–38.)</w:t>
      </w:r>
      <w:r w:rsidRPr="00A063DC">
        <w:rPr>
          <w:b/>
          <w:bCs/>
          <w:color w:val="0070C0"/>
          <w:sz w:val="20"/>
          <w:szCs w:val="20"/>
        </w:rPr>
        <w:t xml:space="preserve"> </w:t>
      </w:r>
      <w:r w:rsidRPr="00A063DC">
        <w:rPr>
          <w:color w:val="0070C0"/>
          <w:sz w:val="20"/>
          <w:szCs w:val="20"/>
        </w:rPr>
        <w:t xml:space="preserve">, and showed no inhibition of Sirt5-dependent </w:t>
      </w:r>
      <w:proofErr w:type="spellStart"/>
      <w:r w:rsidRPr="00A063DC">
        <w:rPr>
          <w:color w:val="0070C0"/>
          <w:sz w:val="20"/>
          <w:szCs w:val="20"/>
        </w:rPr>
        <w:t>desuccinylation</w:t>
      </w:r>
      <w:proofErr w:type="spellEnd"/>
      <w:r w:rsidRPr="00A063DC">
        <w:rPr>
          <w:color w:val="0070C0"/>
          <w:sz w:val="20"/>
          <w:szCs w:val="20"/>
        </w:rPr>
        <w:t xml:space="preserve"> (Fig. 1D), </w:t>
      </w:r>
      <w:proofErr w:type="gramStart"/>
      <w:r w:rsidRPr="00A063DC">
        <w:rPr>
          <w:color w:val="0070C0"/>
          <w:sz w:val="20"/>
          <w:szCs w:val="20"/>
        </w:rPr>
        <w:t>the  dominant</w:t>
      </w:r>
      <w:proofErr w:type="gramEnd"/>
      <w:r w:rsidRPr="00A063DC">
        <w:rPr>
          <w:color w:val="0070C0"/>
          <w:sz w:val="20"/>
          <w:szCs w:val="20"/>
        </w:rPr>
        <w:t xml:space="preserve"> Sirt5 activity identified  recently.”</w:t>
      </w:r>
    </w:p>
    <w:p w:rsidR="00A063DC" w:rsidRPr="00A063DC" w:rsidRDefault="00A063DC" w:rsidP="00A063DC">
      <w:pPr>
        <w:pStyle w:val="NoSpacing"/>
        <w:numPr>
          <w:ilvl w:val="0"/>
          <w:numId w:val="5"/>
        </w:numPr>
        <w:rPr>
          <w:color w:val="0070C0"/>
          <w:sz w:val="20"/>
          <w:szCs w:val="20"/>
        </w:rPr>
      </w:pPr>
      <w:r w:rsidRPr="00A063DC">
        <w:rPr>
          <w:b/>
          <w:bCs/>
          <w:color w:val="0070C0"/>
          <w:sz w:val="20"/>
          <w:szCs w:val="20"/>
        </w:rPr>
        <w:t xml:space="preserve">In 2012 PLOS ONE paper, the weak inhibition caused by resveratrol on SIRT3 was </w:t>
      </w:r>
      <w:proofErr w:type="gramStart"/>
      <w:r w:rsidRPr="00A063DC">
        <w:rPr>
          <w:b/>
          <w:bCs/>
          <w:color w:val="0070C0"/>
          <w:sz w:val="20"/>
          <w:szCs w:val="20"/>
        </w:rPr>
        <w:t>detected  using</w:t>
      </w:r>
      <w:proofErr w:type="gramEnd"/>
      <w:r w:rsidRPr="00A063DC">
        <w:rPr>
          <w:b/>
          <w:bCs/>
          <w:color w:val="0070C0"/>
          <w:sz w:val="20"/>
          <w:szCs w:val="20"/>
        </w:rPr>
        <w:t xml:space="preserve"> ELISA, which was consistent with </w:t>
      </w:r>
      <w:proofErr w:type="spellStart"/>
      <w:r w:rsidRPr="00A063DC">
        <w:rPr>
          <w:b/>
          <w:bCs/>
          <w:color w:val="0070C0"/>
          <w:sz w:val="20"/>
          <w:szCs w:val="20"/>
        </w:rPr>
        <w:t>FdL</w:t>
      </w:r>
      <w:proofErr w:type="spellEnd"/>
      <w:r w:rsidRPr="00A063DC">
        <w:rPr>
          <w:b/>
          <w:bCs/>
          <w:color w:val="0070C0"/>
          <w:sz w:val="20"/>
          <w:szCs w:val="20"/>
        </w:rPr>
        <w:t xml:space="preserve"> results.</w:t>
      </w:r>
    </w:p>
    <w:p w:rsidR="00A063DC" w:rsidRPr="00A063DC" w:rsidRDefault="00A063DC" w:rsidP="00A063DC">
      <w:pPr>
        <w:pStyle w:val="NoSpacing"/>
        <w:ind w:left="720"/>
        <w:jc w:val="both"/>
        <w:rPr>
          <w:color w:val="0070C0"/>
          <w:sz w:val="20"/>
          <w:szCs w:val="20"/>
        </w:rPr>
      </w:pPr>
      <w:proofErr w:type="spellStart"/>
      <w:proofErr w:type="gramStart"/>
      <w:r w:rsidRPr="00A063DC">
        <w:rPr>
          <w:b/>
          <w:bCs/>
          <w:color w:val="0070C0"/>
          <w:sz w:val="20"/>
          <w:szCs w:val="20"/>
          <w:u w:val="single"/>
        </w:rPr>
        <w:t>Gertz</w:t>
      </w:r>
      <w:proofErr w:type="spellEnd"/>
      <w:r w:rsidRPr="00A063DC">
        <w:rPr>
          <w:b/>
          <w:bCs/>
          <w:color w:val="0070C0"/>
          <w:sz w:val="20"/>
          <w:szCs w:val="20"/>
          <w:u w:val="single"/>
        </w:rPr>
        <w:t xml:space="preserve"> M, et al. (2012) A molecular mechanism for direct </w:t>
      </w:r>
      <w:proofErr w:type="spellStart"/>
      <w:r w:rsidRPr="00A063DC">
        <w:rPr>
          <w:b/>
          <w:bCs/>
          <w:color w:val="0070C0"/>
          <w:sz w:val="20"/>
          <w:szCs w:val="20"/>
          <w:u w:val="single"/>
        </w:rPr>
        <w:t>sirtuin</w:t>
      </w:r>
      <w:proofErr w:type="spellEnd"/>
      <w:r w:rsidRPr="00A063DC">
        <w:rPr>
          <w:b/>
          <w:bCs/>
          <w:color w:val="0070C0"/>
          <w:sz w:val="20"/>
          <w:szCs w:val="20"/>
          <w:u w:val="single"/>
        </w:rPr>
        <w:t xml:space="preserve"> activation by resveratrol.</w:t>
      </w:r>
      <w:proofErr w:type="gramEnd"/>
      <w:r w:rsidRPr="00A063DC">
        <w:rPr>
          <w:b/>
          <w:bCs/>
          <w:color w:val="0070C0"/>
          <w:sz w:val="20"/>
          <w:szCs w:val="20"/>
          <w:u w:val="single"/>
        </w:rPr>
        <w:t xml:space="preserve"> </w:t>
      </w:r>
      <w:proofErr w:type="spellStart"/>
      <w:r w:rsidRPr="00A063DC">
        <w:rPr>
          <w:b/>
          <w:bCs/>
          <w:color w:val="0070C0"/>
          <w:sz w:val="20"/>
          <w:szCs w:val="20"/>
          <w:u w:val="single"/>
        </w:rPr>
        <w:t>PLoS</w:t>
      </w:r>
      <w:proofErr w:type="spellEnd"/>
      <w:r w:rsidRPr="00A063DC">
        <w:rPr>
          <w:b/>
          <w:bCs/>
          <w:color w:val="0070C0"/>
          <w:sz w:val="20"/>
          <w:szCs w:val="20"/>
          <w:u w:val="single"/>
        </w:rPr>
        <w:t xml:space="preserve"> ONE 7(11):e49761.</w:t>
      </w:r>
    </w:p>
    <w:p w:rsidR="00A063DC" w:rsidRDefault="00A063DC" w:rsidP="00A063DC">
      <w:pPr>
        <w:pStyle w:val="NoSpacing"/>
        <w:ind w:left="720"/>
        <w:rPr>
          <w:color w:val="0070C0"/>
          <w:sz w:val="20"/>
          <w:szCs w:val="20"/>
        </w:rPr>
      </w:pPr>
      <w:r w:rsidRPr="00A063DC">
        <w:rPr>
          <w:color w:val="0070C0"/>
          <w:sz w:val="20"/>
          <w:szCs w:val="20"/>
        </w:rPr>
        <w:t xml:space="preserve">Resveratrol caused weak inhibition when tested on Sirt3 in an analogous ELISA for glutamate dehydrogenase (GDH) </w:t>
      </w:r>
      <w:proofErr w:type="spellStart"/>
      <w:r w:rsidRPr="00A063DC">
        <w:rPr>
          <w:color w:val="0070C0"/>
          <w:sz w:val="20"/>
          <w:szCs w:val="20"/>
        </w:rPr>
        <w:t>deacetylation</w:t>
      </w:r>
      <w:proofErr w:type="spellEnd"/>
      <w:r w:rsidRPr="00A063DC">
        <w:rPr>
          <w:color w:val="0070C0"/>
          <w:sz w:val="20"/>
          <w:szCs w:val="20"/>
        </w:rPr>
        <w:t xml:space="preserve"> (Figure 4G), again consistent with the </w:t>
      </w:r>
      <w:proofErr w:type="spellStart"/>
      <w:r w:rsidRPr="00A063DC">
        <w:rPr>
          <w:color w:val="0070C0"/>
          <w:sz w:val="20"/>
          <w:szCs w:val="20"/>
        </w:rPr>
        <w:t>FdL</w:t>
      </w:r>
      <w:proofErr w:type="spellEnd"/>
      <w:r w:rsidRPr="00A063DC">
        <w:rPr>
          <w:color w:val="0070C0"/>
          <w:sz w:val="20"/>
          <w:szCs w:val="20"/>
        </w:rPr>
        <w:t xml:space="preserve"> results. These results show that the </w:t>
      </w:r>
      <w:proofErr w:type="spellStart"/>
      <w:r w:rsidRPr="00A063DC">
        <w:rPr>
          <w:color w:val="0070C0"/>
          <w:sz w:val="20"/>
          <w:szCs w:val="20"/>
        </w:rPr>
        <w:t>fluorophore</w:t>
      </w:r>
      <w:proofErr w:type="spellEnd"/>
      <w:r w:rsidRPr="00A063DC">
        <w:rPr>
          <w:color w:val="0070C0"/>
          <w:sz w:val="20"/>
          <w:szCs w:val="20"/>
        </w:rPr>
        <w:t xml:space="preserve"> label is not essential for the stimulatory effect of resveratrol on </w:t>
      </w:r>
      <w:proofErr w:type="spellStart"/>
      <w:r w:rsidRPr="00A063DC">
        <w:rPr>
          <w:color w:val="0070C0"/>
          <w:sz w:val="20"/>
          <w:szCs w:val="20"/>
        </w:rPr>
        <w:t>Sirtuin</w:t>
      </w:r>
      <w:proofErr w:type="spellEnd"/>
      <w:r w:rsidRPr="00A063DC">
        <w:rPr>
          <w:color w:val="0070C0"/>
          <w:sz w:val="20"/>
          <w:szCs w:val="20"/>
        </w:rPr>
        <w:t xml:space="preserve"> dependent </w:t>
      </w:r>
      <w:proofErr w:type="spellStart"/>
      <w:r w:rsidRPr="00A063DC">
        <w:rPr>
          <w:color w:val="0070C0"/>
          <w:sz w:val="20"/>
          <w:szCs w:val="20"/>
        </w:rPr>
        <w:t>deacetylation</w:t>
      </w:r>
      <w:proofErr w:type="spellEnd"/>
      <w:r w:rsidRPr="00A063DC">
        <w:rPr>
          <w:color w:val="0070C0"/>
          <w:sz w:val="20"/>
          <w:szCs w:val="20"/>
        </w:rPr>
        <w:t xml:space="preserve"> but can be replaced by a regular polypeptide chain, and consistently, that activation can also be observed with a complete protein as a substrate. </w:t>
      </w:r>
    </w:p>
    <w:p w:rsidR="00A063DC" w:rsidRPr="00A063DC" w:rsidRDefault="00A063DC" w:rsidP="00A063DC">
      <w:pPr>
        <w:pStyle w:val="NoSpacing"/>
        <w:numPr>
          <w:ilvl w:val="0"/>
          <w:numId w:val="5"/>
        </w:numPr>
        <w:rPr>
          <w:color w:val="0070C0"/>
          <w:sz w:val="20"/>
          <w:szCs w:val="20"/>
        </w:rPr>
      </w:pPr>
      <w:r w:rsidRPr="00A063DC">
        <w:rPr>
          <w:rFonts w:ascii="Calibri" w:hAnsi="Calibri" w:cs="Arial"/>
          <w:color w:val="0070C0"/>
        </w:rPr>
        <w:t xml:space="preserve">Fluor-de-Lys assay used as substrates acetylated peptides conjugated to a </w:t>
      </w:r>
      <w:proofErr w:type="spellStart"/>
      <w:r w:rsidRPr="00A063DC">
        <w:rPr>
          <w:rFonts w:ascii="Calibri" w:hAnsi="Calibri" w:cs="Arial"/>
          <w:color w:val="0070C0"/>
        </w:rPr>
        <w:t>fluorophore</w:t>
      </w:r>
      <w:proofErr w:type="spellEnd"/>
      <w:r w:rsidRPr="00A063DC">
        <w:rPr>
          <w:rFonts w:ascii="Calibri" w:hAnsi="Calibri" w:cs="Arial"/>
          <w:color w:val="0070C0"/>
        </w:rPr>
        <w:t>. It behaves as a natural SIRT1 substrates with a large hydrophobic amino acid residue [</w:t>
      </w:r>
      <w:proofErr w:type="spellStart"/>
      <w:r w:rsidRPr="00A063DC">
        <w:rPr>
          <w:rFonts w:ascii="Calibri" w:hAnsi="Calibri" w:cs="Arial"/>
          <w:color w:val="0070C0"/>
        </w:rPr>
        <w:t>i</w:t>
      </w:r>
      <w:proofErr w:type="spellEnd"/>
      <w:proofErr w:type="gramStart"/>
      <w:r w:rsidRPr="00A063DC">
        <w:rPr>
          <w:rFonts w:ascii="Calibri" w:hAnsi="Calibri" w:cs="Arial"/>
          <w:color w:val="0070C0"/>
        </w:rPr>
        <w:t>..e</w:t>
      </w:r>
      <w:proofErr w:type="gramEnd"/>
      <w:r w:rsidRPr="00A063DC">
        <w:rPr>
          <w:rFonts w:ascii="Calibri" w:hAnsi="Calibri" w:cs="Arial"/>
          <w:color w:val="0070C0"/>
        </w:rPr>
        <w:t xml:space="preserve">, </w:t>
      </w:r>
      <w:proofErr w:type="spellStart"/>
      <w:r w:rsidRPr="00A063DC">
        <w:rPr>
          <w:rFonts w:ascii="Calibri" w:hAnsi="Calibri" w:cs="Arial"/>
          <w:color w:val="0070C0"/>
        </w:rPr>
        <w:t>tryotophan</w:t>
      </w:r>
      <w:proofErr w:type="spellEnd"/>
      <w:r w:rsidRPr="00A063DC">
        <w:rPr>
          <w:rFonts w:ascii="Calibri" w:hAnsi="Calibri" w:cs="Arial"/>
          <w:color w:val="0070C0"/>
        </w:rPr>
        <w:t xml:space="preserve"> (</w:t>
      </w:r>
      <w:proofErr w:type="spellStart"/>
      <w:r w:rsidRPr="00A063DC">
        <w:rPr>
          <w:rFonts w:ascii="Calibri" w:hAnsi="Calibri" w:cs="Arial"/>
          <w:color w:val="0070C0"/>
        </w:rPr>
        <w:t>Trp</w:t>
      </w:r>
      <w:proofErr w:type="spellEnd"/>
      <w:r w:rsidRPr="00A063DC">
        <w:rPr>
          <w:rFonts w:ascii="Calibri" w:hAnsi="Calibri" w:cs="Arial"/>
          <w:color w:val="0070C0"/>
        </w:rPr>
        <w:t>), tyrosine (Tyr), or phenylalanine (</w:t>
      </w:r>
      <w:proofErr w:type="spellStart"/>
      <w:r w:rsidRPr="00A063DC">
        <w:rPr>
          <w:rFonts w:ascii="Calibri" w:hAnsi="Calibri" w:cs="Arial"/>
          <w:color w:val="0070C0"/>
        </w:rPr>
        <w:t>Phe</w:t>
      </w:r>
      <w:proofErr w:type="spellEnd"/>
      <w:r w:rsidRPr="00A063DC">
        <w:rPr>
          <w:rFonts w:ascii="Calibri" w:hAnsi="Calibri" w:cs="Arial"/>
          <w:color w:val="0070C0"/>
        </w:rPr>
        <w:t>)] at positions +1 and +6.</w:t>
      </w:r>
    </w:p>
    <w:p w:rsidR="00A063DC" w:rsidRPr="00A063DC" w:rsidRDefault="00A063DC" w:rsidP="00A063DC">
      <w:pPr>
        <w:pStyle w:val="NoSpacing"/>
        <w:numPr>
          <w:ilvl w:val="0"/>
          <w:numId w:val="5"/>
        </w:numPr>
        <w:rPr>
          <w:color w:val="0070C0"/>
          <w:sz w:val="20"/>
          <w:szCs w:val="20"/>
        </w:rPr>
      </w:pPr>
      <w:r w:rsidRPr="00A063DC">
        <w:rPr>
          <w:rFonts w:ascii="Calibri" w:hAnsi="Calibri" w:cs="Arial"/>
          <w:color w:val="0070C0"/>
        </w:rPr>
        <w:t xml:space="preserve">A publication in 2008 actually showed that the use of a different acetylated peptide as SIRT1 substrate led to quite different results: in their assay system, resveratrol and </w:t>
      </w:r>
      <w:proofErr w:type="spellStart"/>
      <w:r w:rsidRPr="00A063DC">
        <w:rPr>
          <w:rFonts w:ascii="Calibri" w:hAnsi="Calibri" w:cs="Arial"/>
          <w:color w:val="0070C0"/>
        </w:rPr>
        <w:t>fisetin</w:t>
      </w:r>
      <w:proofErr w:type="spellEnd"/>
      <w:r w:rsidRPr="00A063DC">
        <w:rPr>
          <w:rFonts w:ascii="Calibri" w:hAnsi="Calibri" w:cs="Arial"/>
          <w:color w:val="0070C0"/>
        </w:rPr>
        <w:t xml:space="preserve"> showed only marginal activation of SIRT1 (about 1.3-fold), and only </w:t>
      </w:r>
      <w:proofErr w:type="spellStart"/>
      <w:r w:rsidRPr="00A063DC">
        <w:rPr>
          <w:rFonts w:ascii="Calibri" w:hAnsi="Calibri" w:cs="Arial"/>
          <w:color w:val="0070C0"/>
        </w:rPr>
        <w:t>piceatannol</w:t>
      </w:r>
      <w:proofErr w:type="spellEnd"/>
      <w:r w:rsidRPr="00A063DC">
        <w:rPr>
          <w:rFonts w:ascii="Calibri" w:hAnsi="Calibri" w:cs="Arial"/>
          <w:color w:val="0070C0"/>
        </w:rPr>
        <w:t xml:space="preserve"> had a significant activating effect (about 3-fold). The other supposed activators actually behaved as inhibitors of SIRT1: </w:t>
      </w:r>
      <w:proofErr w:type="spellStart"/>
      <w:r w:rsidRPr="00A063DC">
        <w:rPr>
          <w:rFonts w:ascii="Calibri" w:hAnsi="Calibri" w:cs="Arial"/>
          <w:color w:val="0070C0"/>
        </w:rPr>
        <w:t>Butein</w:t>
      </w:r>
      <w:proofErr w:type="spellEnd"/>
      <w:r w:rsidRPr="00A063DC">
        <w:rPr>
          <w:rFonts w:ascii="Calibri" w:hAnsi="Calibri" w:cs="Arial"/>
          <w:color w:val="0070C0"/>
        </w:rPr>
        <w:t xml:space="preserve">, </w:t>
      </w:r>
      <w:proofErr w:type="spellStart"/>
      <w:r w:rsidRPr="00A063DC">
        <w:rPr>
          <w:rFonts w:ascii="Calibri" w:hAnsi="Calibri" w:cs="Arial"/>
          <w:color w:val="0070C0"/>
        </w:rPr>
        <w:t>isoliquiritigenin</w:t>
      </w:r>
      <w:proofErr w:type="spellEnd"/>
      <w:r w:rsidRPr="00A063DC">
        <w:rPr>
          <w:rFonts w:ascii="Calibri" w:hAnsi="Calibri" w:cs="Arial"/>
          <w:color w:val="0070C0"/>
        </w:rPr>
        <w:t xml:space="preserve">, and </w:t>
      </w:r>
      <w:proofErr w:type="spellStart"/>
      <w:r w:rsidRPr="00A063DC">
        <w:rPr>
          <w:rFonts w:ascii="Calibri" w:hAnsi="Calibri" w:cs="Arial"/>
          <w:color w:val="0070C0"/>
        </w:rPr>
        <w:t>quercetin</w:t>
      </w:r>
      <w:proofErr w:type="spellEnd"/>
      <w:r w:rsidRPr="00A063DC">
        <w:rPr>
          <w:rFonts w:ascii="Calibri" w:hAnsi="Calibri" w:cs="Arial"/>
          <w:color w:val="0070C0"/>
        </w:rPr>
        <w:t xml:space="preserve"> reduced the activities to 0.04, 0.32, and 0.38-fold, respectively.</w:t>
      </w:r>
    </w:p>
    <w:p w:rsidR="00A063DC" w:rsidRPr="00A063DC" w:rsidRDefault="00A063DC" w:rsidP="00A063DC">
      <w:pPr>
        <w:pStyle w:val="NoSpacing"/>
        <w:numPr>
          <w:ilvl w:val="0"/>
          <w:numId w:val="5"/>
        </w:numPr>
        <w:rPr>
          <w:color w:val="0070C0"/>
          <w:sz w:val="20"/>
          <w:szCs w:val="20"/>
        </w:rPr>
      </w:pPr>
      <w:r w:rsidRPr="00A063DC">
        <w:rPr>
          <w:rFonts w:ascii="Calibri" w:hAnsi="Calibri" w:cs="Arial"/>
          <w:color w:val="0070C0"/>
        </w:rPr>
        <w:t xml:space="preserve">The so-called “artifact” is referred to the facts that “The existing STACs (identified by using </w:t>
      </w:r>
      <w:proofErr w:type="spellStart"/>
      <w:r w:rsidRPr="00A063DC">
        <w:rPr>
          <w:rFonts w:ascii="Calibri" w:hAnsi="Calibri" w:cs="Arial"/>
          <w:color w:val="0070C0"/>
        </w:rPr>
        <w:t>FdL</w:t>
      </w:r>
      <w:proofErr w:type="spellEnd"/>
      <w:r w:rsidRPr="00A063DC">
        <w:rPr>
          <w:rFonts w:ascii="Calibri" w:hAnsi="Calibri" w:cs="Arial"/>
          <w:color w:val="0070C0"/>
        </w:rPr>
        <w:t xml:space="preserve"> assay) only work with SIRT1 substrates that contain hydrophobic residues at position +1 to the acetylated lysine”. That is because they were identified via screening with a substrate that contained a hydrophobic residue mimetic–i.e., a </w:t>
      </w:r>
      <w:proofErr w:type="spellStart"/>
      <w:r w:rsidRPr="00A063DC">
        <w:rPr>
          <w:rFonts w:ascii="Calibri" w:hAnsi="Calibri" w:cs="Arial"/>
          <w:color w:val="0070C0"/>
        </w:rPr>
        <w:t>fluorophore</w:t>
      </w:r>
      <w:proofErr w:type="spellEnd"/>
      <w:r w:rsidRPr="00A063DC">
        <w:rPr>
          <w:rFonts w:ascii="Calibri" w:hAnsi="Calibri" w:cs="Arial"/>
          <w:color w:val="0070C0"/>
        </w:rPr>
        <w:t xml:space="preserve"> tag. In another word, we can call this group of STACs as “SIRT1 substrate-specific STACs”. For targeting drug design, practically, this might be a way to design/screen a candidate medicine </w:t>
      </w:r>
      <w:proofErr w:type="gramStart"/>
      <w:r w:rsidRPr="00A063DC">
        <w:rPr>
          <w:rFonts w:ascii="Calibri" w:hAnsi="Calibri" w:cs="Arial"/>
          <w:color w:val="0070C0"/>
        </w:rPr>
        <w:t>who</w:t>
      </w:r>
      <w:proofErr w:type="gramEnd"/>
      <w:r w:rsidRPr="00A063DC">
        <w:rPr>
          <w:rFonts w:ascii="Calibri" w:hAnsi="Calibri" w:cs="Arial"/>
          <w:color w:val="0070C0"/>
        </w:rPr>
        <w:t xml:space="preserve"> only targets the </w:t>
      </w:r>
      <w:proofErr w:type="spellStart"/>
      <w:r w:rsidRPr="00A063DC">
        <w:rPr>
          <w:rFonts w:ascii="Calibri" w:hAnsi="Calibri" w:cs="Arial"/>
          <w:color w:val="0070C0"/>
        </w:rPr>
        <w:t>sirtuins</w:t>
      </w:r>
      <w:proofErr w:type="spellEnd"/>
      <w:r w:rsidRPr="00A063DC">
        <w:rPr>
          <w:rFonts w:ascii="Calibri" w:hAnsi="Calibri" w:cs="Arial"/>
          <w:color w:val="0070C0"/>
        </w:rPr>
        <w:t xml:space="preserve"> for a specific disease without regulating nonspecific proteins. For example, SIRT3, as known, is a cancer suppressor and promoter. Because the substrates for this double edged sword are different, by using </w:t>
      </w:r>
      <w:proofErr w:type="spellStart"/>
      <w:r w:rsidRPr="00A063DC">
        <w:rPr>
          <w:rFonts w:ascii="Calibri" w:hAnsi="Calibri" w:cs="Arial"/>
          <w:color w:val="0070C0"/>
        </w:rPr>
        <w:t>aformentioned</w:t>
      </w:r>
      <w:proofErr w:type="spellEnd"/>
      <w:r w:rsidRPr="00A063DC">
        <w:rPr>
          <w:rFonts w:ascii="Calibri" w:hAnsi="Calibri" w:cs="Arial"/>
          <w:color w:val="0070C0"/>
        </w:rPr>
        <w:t xml:space="preserve"> method, we can design </w:t>
      </w:r>
      <w:proofErr w:type="gramStart"/>
      <w:r w:rsidRPr="00A063DC">
        <w:rPr>
          <w:rFonts w:ascii="Calibri" w:hAnsi="Calibri" w:cs="Arial"/>
          <w:color w:val="0070C0"/>
        </w:rPr>
        <w:t>a specific</w:t>
      </w:r>
      <w:proofErr w:type="gramEnd"/>
      <w:r w:rsidRPr="00A063DC">
        <w:rPr>
          <w:rFonts w:ascii="Calibri" w:hAnsi="Calibri" w:cs="Arial"/>
          <w:color w:val="0070C0"/>
        </w:rPr>
        <w:t xml:space="preserve"> STACs for the purpose of drug discovery.</w:t>
      </w:r>
    </w:p>
    <w:p w:rsidR="00A063DC" w:rsidRPr="00A063DC" w:rsidRDefault="00A063DC" w:rsidP="00A063DC">
      <w:pPr>
        <w:pStyle w:val="NoSpacing"/>
        <w:numPr>
          <w:ilvl w:val="0"/>
          <w:numId w:val="5"/>
        </w:numPr>
        <w:rPr>
          <w:color w:val="0070C0"/>
          <w:sz w:val="20"/>
          <w:szCs w:val="20"/>
        </w:rPr>
      </w:pPr>
      <w:r w:rsidRPr="00A063DC">
        <w:rPr>
          <w:rFonts w:ascii="Calibri" w:hAnsi="Calibri" w:cs="Arial"/>
          <w:color w:val="0070C0"/>
        </w:rPr>
        <w:t xml:space="preserve">Therefore, a new screen that is not biased in this way might possibly identify STACs that exhibit selectivity for SIRT1 substrates that contain other sequence signatures. It is possible that such STACs might be better therapeutics for certain aging-related diseases than the current STACs being investigated by </w:t>
      </w:r>
      <w:proofErr w:type="spellStart"/>
      <w:r w:rsidRPr="00A063DC">
        <w:rPr>
          <w:rFonts w:ascii="Calibri" w:hAnsi="Calibri" w:cs="Arial"/>
          <w:color w:val="0070C0"/>
        </w:rPr>
        <w:t>Sirtris</w:t>
      </w:r>
      <w:proofErr w:type="spellEnd"/>
      <w:r w:rsidRPr="00A063DC">
        <w:rPr>
          <w:rFonts w:ascii="Calibri" w:hAnsi="Calibri" w:cs="Arial"/>
          <w:color w:val="0070C0"/>
        </w:rPr>
        <w:t xml:space="preserve">/GSK. </w:t>
      </w:r>
    </w:p>
    <w:p w:rsidR="00A063DC" w:rsidRPr="00A063DC" w:rsidRDefault="00A063DC" w:rsidP="00A063DC">
      <w:pPr>
        <w:pStyle w:val="NoSpacing"/>
        <w:numPr>
          <w:ilvl w:val="0"/>
          <w:numId w:val="5"/>
        </w:numPr>
        <w:rPr>
          <w:color w:val="0070C0"/>
          <w:sz w:val="20"/>
          <w:szCs w:val="20"/>
        </w:rPr>
      </w:pPr>
      <w:r w:rsidRPr="00A063DC">
        <w:rPr>
          <w:rFonts w:ascii="Calibri" w:hAnsi="Calibri" w:cs="Arial"/>
          <w:color w:val="0070C0"/>
        </w:rPr>
        <w:t xml:space="preserve">Back to our issue, like Dr Raj mentioned that the artifacts in some prior work were always due to interaction of </w:t>
      </w:r>
      <w:proofErr w:type="spellStart"/>
      <w:r w:rsidRPr="00A063DC">
        <w:rPr>
          <w:rFonts w:ascii="Calibri" w:hAnsi="Calibri" w:cs="Arial"/>
          <w:color w:val="0070C0"/>
        </w:rPr>
        <w:t>fluorophore</w:t>
      </w:r>
      <w:proofErr w:type="spellEnd"/>
      <w:r w:rsidRPr="00A063DC">
        <w:rPr>
          <w:rFonts w:ascii="Calibri" w:hAnsi="Calibri" w:cs="Arial"/>
          <w:color w:val="0070C0"/>
        </w:rPr>
        <w:t xml:space="preserve"> with hydrophobic </w:t>
      </w:r>
      <w:proofErr w:type="spellStart"/>
      <w:r w:rsidRPr="00A063DC">
        <w:rPr>
          <w:rFonts w:ascii="Calibri" w:hAnsi="Calibri" w:cs="Arial"/>
          <w:color w:val="0070C0"/>
        </w:rPr>
        <w:t>moieities</w:t>
      </w:r>
      <w:proofErr w:type="spellEnd"/>
      <w:r w:rsidRPr="00A063DC">
        <w:rPr>
          <w:rFonts w:ascii="Calibri" w:hAnsi="Calibri" w:cs="Arial"/>
          <w:color w:val="0070C0"/>
        </w:rPr>
        <w:t xml:space="preserve"> on the</w:t>
      </w:r>
      <w:r>
        <w:rPr>
          <w:rFonts w:ascii="Calibri" w:hAnsi="Calibri" w:cs="Arial"/>
          <w:color w:val="0070C0"/>
        </w:rPr>
        <w:t xml:space="preserve"> </w:t>
      </w:r>
      <w:r w:rsidRPr="00A063DC">
        <w:rPr>
          <w:rFonts w:ascii="Calibri" w:hAnsi="Calibri" w:cs="Arial"/>
          <w:color w:val="0070C0"/>
        </w:rPr>
        <w:t>drugs (activators), whereas we did not apply it to discover new molecules, but rather the mechanism of the C pocket binder NAM.</w:t>
      </w:r>
    </w:p>
    <w:p w:rsidR="00A063DC" w:rsidRDefault="00A063DC" w:rsidP="00A063DC">
      <w:pPr>
        <w:pStyle w:val="NoSpacing"/>
        <w:numPr>
          <w:ilvl w:val="0"/>
          <w:numId w:val="5"/>
        </w:numPr>
        <w:jc w:val="both"/>
        <w:rPr>
          <w:color w:val="0070C0"/>
          <w:sz w:val="20"/>
          <w:szCs w:val="20"/>
        </w:rPr>
      </w:pPr>
      <w:r>
        <w:rPr>
          <w:rFonts w:cs="Arial"/>
          <w:b/>
          <w:i/>
          <w:u w:val="single"/>
        </w:rPr>
        <w:t>C</w:t>
      </w:r>
      <w:r w:rsidRPr="00887703">
        <w:rPr>
          <w:rFonts w:cs="Arial"/>
          <w:b/>
          <w:i/>
          <w:u w:val="single"/>
        </w:rPr>
        <w:t>omputational validation</w:t>
      </w:r>
    </w:p>
    <w:p w:rsidR="00A063DC" w:rsidRDefault="00A063DC" w:rsidP="00A063DC">
      <w:pPr>
        <w:pStyle w:val="NoSpacing"/>
        <w:jc w:val="both"/>
        <w:rPr>
          <w:color w:val="0070C0"/>
          <w:sz w:val="20"/>
          <w:szCs w:val="20"/>
        </w:rPr>
      </w:pPr>
    </w:p>
    <w:p w:rsidR="00A063DC" w:rsidRDefault="00A063DC" w:rsidP="00A063DC">
      <w:pPr>
        <w:pStyle w:val="NoSpacing"/>
        <w:jc w:val="both"/>
        <w:rPr>
          <w:color w:val="0070C0"/>
          <w:sz w:val="20"/>
          <w:szCs w:val="20"/>
        </w:rPr>
      </w:pPr>
    </w:p>
    <w:p w:rsidR="00495DCD" w:rsidRDefault="00495DCD" w:rsidP="00A063DC">
      <w:pPr>
        <w:pStyle w:val="NoSpacing"/>
        <w:jc w:val="both"/>
      </w:pPr>
      <w:r w:rsidRPr="00495DCD">
        <w:rPr>
          <w:b/>
        </w:rPr>
        <w:t>Reviewer #4</w:t>
      </w:r>
      <w:r w:rsidRPr="00495DCD">
        <w:t xml:space="preserve">: Guan et al have investigated the mechanism of </w:t>
      </w:r>
      <w:proofErr w:type="spellStart"/>
      <w:r w:rsidRPr="00495DCD">
        <w:t>nicotinamide</w:t>
      </w:r>
      <w:proofErr w:type="spellEnd"/>
      <w:r w:rsidRPr="00495DCD">
        <w:t xml:space="preserve"> inhibition of human SIRT3 in a very detailed and scientifically sound way. There are only two minor issues</w:t>
      </w:r>
    </w:p>
    <w:p w:rsidR="00495DCD" w:rsidRDefault="00495DCD" w:rsidP="00495DCD">
      <w:pPr>
        <w:pStyle w:val="NoSpacing"/>
        <w:jc w:val="both"/>
      </w:pPr>
      <w:r w:rsidRPr="00495DCD">
        <w:br/>
        <w:t>(a) Throughout the manuscript the writing of numbers and units should be harmonized (including a space between number and unit)</w:t>
      </w:r>
    </w:p>
    <w:p w:rsidR="00495DCD" w:rsidRDefault="00495DCD" w:rsidP="00495DCD">
      <w:pPr>
        <w:pStyle w:val="NoSpacing"/>
        <w:jc w:val="both"/>
      </w:pPr>
      <w:r w:rsidRPr="00495DCD">
        <w:rPr>
          <w:i/>
          <w:u w:val="single"/>
        </w:rPr>
        <w:t>Response</w:t>
      </w:r>
      <w:r>
        <w:t>:</w:t>
      </w:r>
    </w:p>
    <w:p w:rsidR="00DA0BC8" w:rsidRPr="00DA0BC8" w:rsidRDefault="00DA0BC8" w:rsidP="00DA0BC8">
      <w:pPr>
        <w:pStyle w:val="NoSpacing"/>
        <w:numPr>
          <w:ilvl w:val="0"/>
          <w:numId w:val="11"/>
        </w:numPr>
        <w:jc w:val="both"/>
        <w:rPr>
          <w:color w:val="0070C0"/>
        </w:rPr>
      </w:pPr>
      <w:r w:rsidRPr="00DA0BC8">
        <w:rPr>
          <w:color w:val="0070C0"/>
        </w:rPr>
        <w:lastRenderedPageBreak/>
        <w:t>Add a space between number and unit</w:t>
      </w:r>
    </w:p>
    <w:p w:rsidR="00DA0BC8" w:rsidRDefault="00DA0BC8" w:rsidP="00DA0BC8">
      <w:pPr>
        <w:pStyle w:val="NoSpacing"/>
        <w:numPr>
          <w:ilvl w:val="0"/>
          <w:numId w:val="11"/>
        </w:numPr>
        <w:jc w:val="both"/>
        <w:rPr>
          <w:color w:val="0070C0"/>
        </w:rPr>
      </w:pPr>
      <w:r w:rsidRPr="00DA0BC8">
        <w:rPr>
          <w:color w:val="0070C0"/>
        </w:rPr>
        <w:t>The position of equation number should keep the same.</w:t>
      </w:r>
    </w:p>
    <w:p w:rsidR="00DA0BC8" w:rsidRPr="00DA0BC8" w:rsidRDefault="00DA0BC8" w:rsidP="00DA0BC8">
      <w:pPr>
        <w:pStyle w:val="NoSpacing"/>
        <w:ind w:left="720"/>
        <w:jc w:val="both"/>
        <w:rPr>
          <w:color w:val="0070C0"/>
        </w:rPr>
      </w:pPr>
    </w:p>
    <w:p w:rsidR="00495DCD" w:rsidRDefault="00DA0BC8" w:rsidP="00DA0BC8">
      <w:pPr>
        <w:pStyle w:val="NoSpacing"/>
        <w:jc w:val="both"/>
      </w:pPr>
      <w:r w:rsidRPr="00495DCD">
        <w:t xml:space="preserve"> </w:t>
      </w:r>
      <w:r w:rsidR="00495DCD" w:rsidRPr="00495DCD">
        <w:t xml:space="preserve">(b) </w:t>
      </w:r>
      <w:proofErr w:type="gramStart"/>
      <w:r w:rsidR="00495DCD" w:rsidRPr="00495DCD">
        <w:t>in</w:t>
      </w:r>
      <w:proofErr w:type="gramEnd"/>
      <w:r w:rsidR="00495DCD" w:rsidRPr="00495DCD">
        <w:t xml:space="preserve"> Figure 3 write </w:t>
      </w:r>
      <w:proofErr w:type="spellStart"/>
      <w:r w:rsidR="00495DCD" w:rsidRPr="00495DCD">
        <w:t>μM</w:t>
      </w:r>
      <w:proofErr w:type="spellEnd"/>
      <w:r w:rsidR="00495DCD" w:rsidRPr="00495DCD">
        <w:t xml:space="preserve"> instead of </w:t>
      </w:r>
      <w:proofErr w:type="spellStart"/>
      <w:r w:rsidR="00495DCD" w:rsidRPr="00495DCD">
        <w:t>uM</w:t>
      </w:r>
      <w:proofErr w:type="spellEnd"/>
    </w:p>
    <w:p w:rsidR="00495DCD" w:rsidRDefault="00495DCD" w:rsidP="00495DCD">
      <w:pPr>
        <w:pStyle w:val="NoSpacing"/>
        <w:jc w:val="both"/>
      </w:pPr>
      <w:r w:rsidRPr="00495DCD">
        <w:rPr>
          <w:i/>
          <w:u w:val="single"/>
        </w:rPr>
        <w:t>Response</w:t>
      </w:r>
      <w:r>
        <w:t>:</w:t>
      </w:r>
    </w:p>
    <w:p w:rsidR="00495DCD" w:rsidRPr="00DA0BC8" w:rsidRDefault="00DA0BC8" w:rsidP="00DA0BC8">
      <w:pPr>
        <w:pStyle w:val="NoSpacing"/>
        <w:numPr>
          <w:ilvl w:val="0"/>
          <w:numId w:val="12"/>
        </w:numPr>
        <w:jc w:val="both"/>
        <w:rPr>
          <w:color w:val="0070C0"/>
        </w:rPr>
      </w:pPr>
      <w:r>
        <w:rPr>
          <w:color w:val="0070C0"/>
        </w:rPr>
        <w:t xml:space="preserve">The </w:t>
      </w:r>
      <w:proofErr w:type="spellStart"/>
      <w:r>
        <w:rPr>
          <w:color w:val="0070C0"/>
        </w:rPr>
        <w:t>uM</w:t>
      </w:r>
      <w:proofErr w:type="spellEnd"/>
      <w:r>
        <w:rPr>
          <w:color w:val="0070C0"/>
        </w:rPr>
        <w:t xml:space="preserve"> have been changed to </w:t>
      </w:r>
      <w:r w:rsidRPr="00DA0BC8">
        <w:rPr>
          <w:rFonts w:ascii="Symbol" w:hAnsi="Symbol"/>
          <w:color w:val="0070C0"/>
        </w:rPr>
        <w:t></w:t>
      </w:r>
      <w:r>
        <w:rPr>
          <w:color w:val="0070C0"/>
        </w:rPr>
        <w:t>M in revised Figure 3.</w:t>
      </w:r>
    </w:p>
    <w:sectPr w:rsidR="00495DCD" w:rsidRPr="00DA0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dvPSGEO-R">
    <w:panose1 w:val="00000000000000000000"/>
    <w:charset w:val="00"/>
    <w:family w:val="auto"/>
    <w:notTrueType/>
    <w:pitch w:val="default"/>
    <w:sig w:usb0="00000003" w:usb1="00000000" w:usb2="00000000" w:usb3="00000000" w:csb0="00000001" w:csb1="00000000"/>
  </w:font>
  <w:font w:name="WarnockPro-Light">
    <w:panose1 w:val="00000000000000000000"/>
    <w:charset w:val="00"/>
    <w:family w:val="auto"/>
    <w:notTrueType/>
    <w:pitch w:val="default"/>
    <w:sig w:usb0="00000003" w:usb1="00000000" w:usb2="00000000" w:usb3="00000000" w:csb0="00000001" w:csb1="00000000"/>
  </w:font>
  <w:font w:name="WarnockPro-LightIt">
    <w:panose1 w:val="00000000000000000000"/>
    <w:charset w:val="00"/>
    <w:family w:val="auto"/>
    <w:notTrueType/>
    <w:pitch w:val="default"/>
    <w:sig w:usb0="00000003" w:usb1="00000000" w:usb2="00000000" w:usb3="00000000" w:csb0="00000001" w:csb1="00000000"/>
  </w:font>
  <w:font w:name="WarnockPro-Semibold">
    <w:panose1 w:val="00000000000000000000"/>
    <w:charset w:val="00"/>
    <w:family w:val="auto"/>
    <w:notTrueType/>
    <w:pitch w:val="default"/>
    <w:sig w:usb0="00000003" w:usb1="00000000" w:usb2="00000000" w:usb3="00000000" w:csb0="00000001" w:csb1="00000000"/>
  </w:font>
  <w:font w:name="WarnockPro-Regular">
    <w:panose1 w:val="00000000000000000000"/>
    <w:charset w:val="00"/>
    <w:family w:val="auto"/>
    <w:notTrueType/>
    <w:pitch w:val="default"/>
    <w:sig w:usb0="00000003" w:usb1="00000000" w:usb2="00000000" w:usb3="00000000" w:csb0="00000001" w:csb1="00000000"/>
  </w:font>
  <w:font w:name="WarnockPro-I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2827"/>
    <w:multiLevelType w:val="hybridMultilevel"/>
    <w:tmpl w:val="1A70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B3A02"/>
    <w:multiLevelType w:val="hybridMultilevel"/>
    <w:tmpl w:val="0338CAB0"/>
    <w:lvl w:ilvl="0" w:tplc="01C8A56E">
      <w:numFmt w:val="bullet"/>
      <w:lvlText w:val=""/>
      <w:lvlJc w:val="left"/>
      <w:pPr>
        <w:ind w:left="4950" w:hanging="360"/>
      </w:pPr>
      <w:rPr>
        <w:rFonts w:ascii="Symbol" w:eastAsiaTheme="minorHAnsi" w:hAnsi="Symbol" w:cstheme="minorBidi" w:hint="default"/>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2">
    <w:nsid w:val="0F085705"/>
    <w:multiLevelType w:val="hybridMultilevel"/>
    <w:tmpl w:val="2B2A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E5D71"/>
    <w:multiLevelType w:val="hybridMultilevel"/>
    <w:tmpl w:val="FA3C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B82BF1"/>
    <w:multiLevelType w:val="hybridMultilevel"/>
    <w:tmpl w:val="E9BC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A06245"/>
    <w:multiLevelType w:val="hybridMultilevel"/>
    <w:tmpl w:val="A1D0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F91AA5"/>
    <w:multiLevelType w:val="hybridMultilevel"/>
    <w:tmpl w:val="3CA2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380A48"/>
    <w:multiLevelType w:val="hybridMultilevel"/>
    <w:tmpl w:val="4CD61D8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67B0197"/>
    <w:multiLevelType w:val="hybridMultilevel"/>
    <w:tmpl w:val="5EE0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5229CD"/>
    <w:multiLevelType w:val="hybridMultilevel"/>
    <w:tmpl w:val="9AF8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4A4FF2"/>
    <w:multiLevelType w:val="hybridMultilevel"/>
    <w:tmpl w:val="97FE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F3388D"/>
    <w:multiLevelType w:val="hybridMultilevel"/>
    <w:tmpl w:val="8A3A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9F78F9"/>
    <w:multiLevelType w:val="multilevel"/>
    <w:tmpl w:val="918A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2213F6"/>
    <w:multiLevelType w:val="hybridMultilevel"/>
    <w:tmpl w:val="78584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0"/>
  </w:num>
  <w:num w:numId="5">
    <w:abstractNumId w:val="6"/>
  </w:num>
  <w:num w:numId="6">
    <w:abstractNumId w:val="2"/>
  </w:num>
  <w:num w:numId="7">
    <w:abstractNumId w:val="11"/>
  </w:num>
  <w:num w:numId="8">
    <w:abstractNumId w:val="5"/>
  </w:num>
  <w:num w:numId="9">
    <w:abstractNumId w:val="9"/>
  </w:num>
  <w:num w:numId="10">
    <w:abstractNumId w:val="10"/>
  </w:num>
  <w:num w:numId="11">
    <w:abstractNumId w:val="3"/>
  </w:num>
  <w:num w:numId="12">
    <w:abstractNumId w:val="4"/>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DCD"/>
    <w:rsid w:val="00057C51"/>
    <w:rsid w:val="000B11FF"/>
    <w:rsid w:val="00103983"/>
    <w:rsid w:val="00105112"/>
    <w:rsid w:val="0015261A"/>
    <w:rsid w:val="00163954"/>
    <w:rsid w:val="00253295"/>
    <w:rsid w:val="00291BFB"/>
    <w:rsid w:val="002A1B29"/>
    <w:rsid w:val="00307241"/>
    <w:rsid w:val="00307638"/>
    <w:rsid w:val="00326D6D"/>
    <w:rsid w:val="00495DCD"/>
    <w:rsid w:val="004C2916"/>
    <w:rsid w:val="0051618F"/>
    <w:rsid w:val="006917F1"/>
    <w:rsid w:val="006F19DE"/>
    <w:rsid w:val="007068E6"/>
    <w:rsid w:val="00781405"/>
    <w:rsid w:val="007C2601"/>
    <w:rsid w:val="008D0536"/>
    <w:rsid w:val="0096453A"/>
    <w:rsid w:val="009F37D8"/>
    <w:rsid w:val="00A047F7"/>
    <w:rsid w:val="00A063DC"/>
    <w:rsid w:val="00A33BBA"/>
    <w:rsid w:val="00A33C13"/>
    <w:rsid w:val="00C41A99"/>
    <w:rsid w:val="00D55802"/>
    <w:rsid w:val="00D66EE5"/>
    <w:rsid w:val="00DA0BC8"/>
    <w:rsid w:val="00E235D2"/>
    <w:rsid w:val="00E94300"/>
    <w:rsid w:val="00ED2DDD"/>
    <w:rsid w:val="00F01D23"/>
    <w:rsid w:val="00FC3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5DCD"/>
    <w:pPr>
      <w:spacing w:after="0" w:line="240" w:lineRule="auto"/>
    </w:pPr>
  </w:style>
  <w:style w:type="paragraph" w:styleId="ListParagraph">
    <w:name w:val="List Paragraph"/>
    <w:basedOn w:val="Normal"/>
    <w:uiPriority w:val="34"/>
    <w:qFormat/>
    <w:rsid w:val="00495DCD"/>
    <w:pPr>
      <w:ind w:left="720"/>
      <w:contextualSpacing/>
    </w:pPr>
  </w:style>
  <w:style w:type="paragraph" w:styleId="NormalWeb">
    <w:name w:val="Normal (Web)"/>
    <w:basedOn w:val="Normal"/>
    <w:uiPriority w:val="99"/>
    <w:semiHidden/>
    <w:unhideWhenUsed/>
    <w:rsid w:val="00A063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6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8E6"/>
    <w:rPr>
      <w:rFonts w:ascii="Tahoma" w:hAnsi="Tahoma" w:cs="Tahoma"/>
      <w:sz w:val="16"/>
      <w:szCs w:val="16"/>
    </w:rPr>
  </w:style>
  <w:style w:type="paragraph" w:styleId="BodyText2">
    <w:name w:val="Body Text 2"/>
    <w:basedOn w:val="Normal"/>
    <w:link w:val="BodyText2Char"/>
    <w:semiHidden/>
    <w:rsid w:val="00ED2DDD"/>
    <w:pPr>
      <w:autoSpaceDE w:val="0"/>
      <w:autoSpaceDN w:val="0"/>
      <w:adjustRightInd w:val="0"/>
      <w:spacing w:after="0" w:line="480" w:lineRule="auto"/>
    </w:pPr>
    <w:rPr>
      <w:rFonts w:ascii="SimSun" w:eastAsia="SimSun" w:hAnsi="Calibri" w:cs="SimSun"/>
      <w:color w:val="0000FF"/>
      <w:sz w:val="24"/>
      <w:szCs w:val="24"/>
    </w:rPr>
  </w:style>
  <w:style w:type="character" w:customStyle="1" w:styleId="BodyText2Char">
    <w:name w:val="Body Text 2 Char"/>
    <w:basedOn w:val="DefaultParagraphFont"/>
    <w:link w:val="BodyText2"/>
    <w:semiHidden/>
    <w:rsid w:val="00ED2DDD"/>
    <w:rPr>
      <w:rFonts w:ascii="SimSun" w:eastAsia="SimSun" w:hAnsi="Calibri" w:cs="SimSun"/>
      <w:color w:val="0000FF"/>
      <w:sz w:val="24"/>
      <w:szCs w:val="24"/>
    </w:rPr>
  </w:style>
  <w:style w:type="character" w:styleId="CommentReference">
    <w:name w:val="annotation reference"/>
    <w:semiHidden/>
    <w:rsid w:val="006917F1"/>
    <w:rPr>
      <w:rFonts w:ascii="Times New Roman" w:hAnsi="Times New Roman" w:cs="Times New Roman"/>
      <w:sz w:val="18"/>
      <w:szCs w:val="18"/>
    </w:rPr>
  </w:style>
  <w:style w:type="paragraph" w:styleId="CommentText">
    <w:name w:val="annotation text"/>
    <w:basedOn w:val="Normal"/>
    <w:link w:val="CommentTextChar"/>
    <w:semiHidden/>
    <w:rsid w:val="006917F1"/>
    <w:pPr>
      <w:suppressAutoHyphens/>
      <w:spacing w:after="0" w:line="240" w:lineRule="auto"/>
    </w:pPr>
    <w:rPr>
      <w:rFonts w:ascii="Times New Roman" w:eastAsia="SimSun" w:hAnsi="Times New Roman" w:cs="Times New Roman"/>
      <w:kern w:val="1"/>
      <w:sz w:val="24"/>
      <w:szCs w:val="24"/>
      <w:lang w:eastAsia="hi-IN" w:bidi="hi-IN"/>
    </w:rPr>
  </w:style>
  <w:style w:type="character" w:customStyle="1" w:styleId="CommentTextChar">
    <w:name w:val="Comment Text Char"/>
    <w:basedOn w:val="DefaultParagraphFont"/>
    <w:link w:val="CommentText"/>
    <w:semiHidden/>
    <w:rsid w:val="006917F1"/>
    <w:rPr>
      <w:rFonts w:ascii="Times New Roman" w:eastAsia="SimSun" w:hAnsi="Times New Roman" w:cs="Times New Roman"/>
      <w:kern w:val="1"/>
      <w:sz w:val="24"/>
      <w:szCs w:val="24"/>
      <w:lang w:eastAsia="hi-IN" w:bidi="hi-IN"/>
    </w:rPr>
  </w:style>
  <w:style w:type="character" w:styleId="Hyperlink">
    <w:name w:val="Hyperlink"/>
    <w:basedOn w:val="DefaultParagraphFont"/>
    <w:uiPriority w:val="99"/>
    <w:semiHidden/>
    <w:unhideWhenUsed/>
    <w:rsid w:val="001526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5DCD"/>
    <w:pPr>
      <w:spacing w:after="0" w:line="240" w:lineRule="auto"/>
    </w:pPr>
  </w:style>
  <w:style w:type="paragraph" w:styleId="ListParagraph">
    <w:name w:val="List Paragraph"/>
    <w:basedOn w:val="Normal"/>
    <w:uiPriority w:val="34"/>
    <w:qFormat/>
    <w:rsid w:val="00495DCD"/>
    <w:pPr>
      <w:ind w:left="720"/>
      <w:contextualSpacing/>
    </w:pPr>
  </w:style>
  <w:style w:type="paragraph" w:styleId="NormalWeb">
    <w:name w:val="Normal (Web)"/>
    <w:basedOn w:val="Normal"/>
    <w:uiPriority w:val="99"/>
    <w:semiHidden/>
    <w:unhideWhenUsed/>
    <w:rsid w:val="00A063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6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8E6"/>
    <w:rPr>
      <w:rFonts w:ascii="Tahoma" w:hAnsi="Tahoma" w:cs="Tahoma"/>
      <w:sz w:val="16"/>
      <w:szCs w:val="16"/>
    </w:rPr>
  </w:style>
  <w:style w:type="paragraph" w:styleId="BodyText2">
    <w:name w:val="Body Text 2"/>
    <w:basedOn w:val="Normal"/>
    <w:link w:val="BodyText2Char"/>
    <w:semiHidden/>
    <w:rsid w:val="00ED2DDD"/>
    <w:pPr>
      <w:autoSpaceDE w:val="0"/>
      <w:autoSpaceDN w:val="0"/>
      <w:adjustRightInd w:val="0"/>
      <w:spacing w:after="0" w:line="480" w:lineRule="auto"/>
    </w:pPr>
    <w:rPr>
      <w:rFonts w:ascii="SimSun" w:eastAsia="SimSun" w:hAnsi="Calibri" w:cs="SimSun"/>
      <w:color w:val="0000FF"/>
      <w:sz w:val="24"/>
      <w:szCs w:val="24"/>
    </w:rPr>
  </w:style>
  <w:style w:type="character" w:customStyle="1" w:styleId="BodyText2Char">
    <w:name w:val="Body Text 2 Char"/>
    <w:basedOn w:val="DefaultParagraphFont"/>
    <w:link w:val="BodyText2"/>
    <w:semiHidden/>
    <w:rsid w:val="00ED2DDD"/>
    <w:rPr>
      <w:rFonts w:ascii="SimSun" w:eastAsia="SimSun" w:hAnsi="Calibri" w:cs="SimSun"/>
      <w:color w:val="0000FF"/>
      <w:sz w:val="24"/>
      <w:szCs w:val="24"/>
    </w:rPr>
  </w:style>
  <w:style w:type="character" w:styleId="CommentReference">
    <w:name w:val="annotation reference"/>
    <w:semiHidden/>
    <w:rsid w:val="006917F1"/>
    <w:rPr>
      <w:rFonts w:ascii="Times New Roman" w:hAnsi="Times New Roman" w:cs="Times New Roman"/>
      <w:sz w:val="18"/>
      <w:szCs w:val="18"/>
    </w:rPr>
  </w:style>
  <w:style w:type="paragraph" w:styleId="CommentText">
    <w:name w:val="annotation text"/>
    <w:basedOn w:val="Normal"/>
    <w:link w:val="CommentTextChar"/>
    <w:semiHidden/>
    <w:rsid w:val="006917F1"/>
    <w:pPr>
      <w:suppressAutoHyphens/>
      <w:spacing w:after="0" w:line="240" w:lineRule="auto"/>
    </w:pPr>
    <w:rPr>
      <w:rFonts w:ascii="Times New Roman" w:eastAsia="SimSun" w:hAnsi="Times New Roman" w:cs="Times New Roman"/>
      <w:kern w:val="1"/>
      <w:sz w:val="24"/>
      <w:szCs w:val="24"/>
      <w:lang w:eastAsia="hi-IN" w:bidi="hi-IN"/>
    </w:rPr>
  </w:style>
  <w:style w:type="character" w:customStyle="1" w:styleId="CommentTextChar">
    <w:name w:val="Comment Text Char"/>
    <w:basedOn w:val="DefaultParagraphFont"/>
    <w:link w:val="CommentText"/>
    <w:semiHidden/>
    <w:rsid w:val="006917F1"/>
    <w:rPr>
      <w:rFonts w:ascii="Times New Roman" w:eastAsia="SimSun" w:hAnsi="Times New Roman" w:cs="Times New Roman"/>
      <w:kern w:val="1"/>
      <w:sz w:val="24"/>
      <w:szCs w:val="24"/>
      <w:lang w:eastAsia="hi-IN" w:bidi="hi-IN"/>
    </w:rPr>
  </w:style>
  <w:style w:type="character" w:styleId="Hyperlink">
    <w:name w:val="Hyperlink"/>
    <w:basedOn w:val="DefaultParagraphFont"/>
    <w:uiPriority w:val="99"/>
    <w:semiHidden/>
    <w:unhideWhenUsed/>
    <w:rsid w:val="001526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84995">
      <w:bodyDiv w:val="1"/>
      <w:marLeft w:val="0"/>
      <w:marRight w:val="0"/>
      <w:marTop w:val="0"/>
      <w:marBottom w:val="0"/>
      <w:divBdr>
        <w:top w:val="none" w:sz="0" w:space="0" w:color="auto"/>
        <w:left w:val="none" w:sz="0" w:space="0" w:color="auto"/>
        <w:bottom w:val="none" w:sz="0" w:space="0" w:color="auto"/>
        <w:right w:val="none" w:sz="0" w:space="0" w:color="auto"/>
      </w:divBdr>
    </w:div>
    <w:div w:id="106981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2421</Words>
  <Characters>13802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xguan</dc:creator>
  <cp:lastModifiedBy>xguan</cp:lastModifiedBy>
  <cp:revision>2</cp:revision>
  <dcterms:created xsi:type="dcterms:W3CDTF">2014-07-09T18:38:00Z</dcterms:created>
  <dcterms:modified xsi:type="dcterms:W3CDTF">2014-07-09T18:38:00Z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