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00" w:rsidRPr="00EA705D" w:rsidRDefault="009E1471" w:rsidP="004E7C6F">
      <w:pPr>
        <w:jc w:val="center"/>
        <w:rPr>
          <w:b/>
          <w:sz w:val="24"/>
          <w:szCs w:val="24"/>
        </w:rPr>
      </w:pPr>
      <w:r w:rsidRPr="00EA705D">
        <w:rPr>
          <w:b/>
          <w:sz w:val="24"/>
          <w:szCs w:val="24"/>
        </w:rPr>
        <w:t>SI preparation for standard curve</w:t>
      </w:r>
    </w:p>
    <w:p w:rsidR="009E1471" w:rsidRPr="00EA705D" w:rsidRDefault="009E1471" w:rsidP="009E147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 xml:space="preserve">The purpose of Standard curve </w:t>
      </w:r>
    </w:p>
    <w:p w:rsidR="000E55E6" w:rsidRPr="00EA705D" w:rsidRDefault="000E55E6" w:rsidP="003C2913">
      <w:pPr>
        <w:pStyle w:val="NoSpacing"/>
        <w:ind w:left="720" w:firstLine="720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>Through the manuscript, the calculation of all the kinetic parameters and model fittings were based on the micro molar (</w:t>
      </w:r>
      <w:proofErr w:type="spellStart"/>
      <w:r w:rsidRPr="00EA705D">
        <w:rPr>
          <w:color w:val="0000FF"/>
          <w:sz w:val="24"/>
          <w:szCs w:val="24"/>
        </w:rPr>
        <w:t>uM</w:t>
      </w:r>
      <w:proofErr w:type="spellEnd"/>
      <w:r w:rsidRPr="00EA705D">
        <w:rPr>
          <w:color w:val="0000FF"/>
          <w:sz w:val="24"/>
          <w:szCs w:val="24"/>
        </w:rPr>
        <w:t xml:space="preserve">) of </w:t>
      </w:r>
      <w:proofErr w:type="spellStart"/>
      <w:r w:rsidRPr="00EA705D">
        <w:rPr>
          <w:color w:val="0000FF"/>
          <w:sz w:val="24"/>
          <w:szCs w:val="24"/>
        </w:rPr>
        <w:t>deacetylated</w:t>
      </w:r>
      <w:proofErr w:type="spellEnd"/>
      <w:r w:rsidRPr="00EA705D">
        <w:rPr>
          <w:color w:val="0000FF"/>
          <w:sz w:val="24"/>
          <w:szCs w:val="24"/>
        </w:rPr>
        <w:t xml:space="preserve"> product (</w:t>
      </w:r>
      <w:proofErr w:type="spellStart"/>
      <w:r w:rsidRPr="00EA705D">
        <w:rPr>
          <w:color w:val="0000FF"/>
          <w:sz w:val="24"/>
          <w:szCs w:val="24"/>
        </w:rPr>
        <w:t>deacetylated</w:t>
      </w:r>
      <w:proofErr w:type="spellEnd"/>
      <w:r w:rsidRPr="00EA705D">
        <w:rPr>
          <w:color w:val="0000FF"/>
          <w:sz w:val="24"/>
          <w:szCs w:val="24"/>
        </w:rPr>
        <w:t xml:space="preserve"> peptide) within different time points. Fluorescence signal (AFU) was used as readout in the </w:t>
      </w:r>
      <w:proofErr w:type="spellStart"/>
      <w:r w:rsidRPr="00EA705D">
        <w:rPr>
          <w:color w:val="0000FF"/>
          <w:sz w:val="24"/>
          <w:szCs w:val="24"/>
        </w:rPr>
        <w:t>FdL</w:t>
      </w:r>
      <w:proofErr w:type="spellEnd"/>
      <w:r w:rsidRPr="00EA705D">
        <w:rPr>
          <w:color w:val="0000FF"/>
          <w:sz w:val="24"/>
          <w:szCs w:val="24"/>
        </w:rPr>
        <w:t xml:space="preserve"> assay. The use of correct correlation between AFU and </w:t>
      </w:r>
      <w:proofErr w:type="spellStart"/>
      <w:r w:rsidRPr="00EA705D">
        <w:rPr>
          <w:color w:val="0000FF"/>
          <w:sz w:val="24"/>
          <w:szCs w:val="24"/>
        </w:rPr>
        <w:t>uM</w:t>
      </w:r>
      <w:proofErr w:type="spellEnd"/>
      <w:r w:rsidRPr="00EA705D">
        <w:rPr>
          <w:color w:val="0000FF"/>
          <w:sz w:val="24"/>
          <w:szCs w:val="24"/>
        </w:rPr>
        <w:t xml:space="preserve"> becomes critical for the success of parameter calculation and model fitting. Therefore, a precise series of standard curves w</w:t>
      </w:r>
      <w:r w:rsidR="004A185D" w:rsidRPr="00EA705D">
        <w:rPr>
          <w:color w:val="0000FF"/>
          <w:sz w:val="24"/>
          <w:szCs w:val="24"/>
        </w:rPr>
        <w:t>ere</w:t>
      </w:r>
      <w:r w:rsidRPr="00EA705D">
        <w:rPr>
          <w:color w:val="0000FF"/>
          <w:sz w:val="24"/>
          <w:szCs w:val="24"/>
        </w:rPr>
        <w:t xml:space="preserve"> used in the current manuscript for such purpose.</w:t>
      </w:r>
    </w:p>
    <w:p w:rsidR="000E55E6" w:rsidRPr="00EA705D" w:rsidRDefault="000E55E6" w:rsidP="000E55E6">
      <w:pPr>
        <w:pStyle w:val="NoSpacing"/>
        <w:ind w:left="720"/>
        <w:rPr>
          <w:sz w:val="24"/>
          <w:szCs w:val="24"/>
        </w:rPr>
      </w:pPr>
      <w:r w:rsidRPr="00EA705D">
        <w:rPr>
          <w:sz w:val="24"/>
          <w:szCs w:val="24"/>
        </w:rPr>
        <w:tab/>
      </w:r>
    </w:p>
    <w:p w:rsidR="009E1471" w:rsidRPr="00EA705D" w:rsidRDefault="009E1471" w:rsidP="009E147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The misleading by using wrong standard curve</w:t>
      </w:r>
    </w:p>
    <w:p w:rsidR="009E1471" w:rsidRPr="00EA705D" w:rsidRDefault="009E1471" w:rsidP="009E1471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Standard curve in assay buffer does not represent the real experimental behavior.</w:t>
      </w:r>
    </w:p>
    <w:p w:rsidR="000E553D" w:rsidRPr="00EA705D" w:rsidRDefault="000E553D" w:rsidP="009E1471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The component of reaction solution influence the outcome</w:t>
      </w:r>
    </w:p>
    <w:p w:rsidR="000E553D" w:rsidRPr="00EA705D" w:rsidRDefault="000E553D" w:rsidP="000E553D">
      <w:pPr>
        <w:pStyle w:val="NoSpacing"/>
        <w:numPr>
          <w:ilvl w:val="3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NAD+</w:t>
      </w:r>
    </w:p>
    <w:p w:rsidR="009E1471" w:rsidRPr="00EA705D" w:rsidRDefault="009E1471" w:rsidP="000E553D">
      <w:pPr>
        <w:pStyle w:val="NoSpacing"/>
        <w:numPr>
          <w:ilvl w:val="4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>Show comparison of Standard curve in only assay buffer and in the presence of NAD+</w:t>
      </w:r>
    </w:p>
    <w:p w:rsidR="000E553D" w:rsidRPr="00EA705D" w:rsidRDefault="000E553D" w:rsidP="000E553D">
      <w:pPr>
        <w:pStyle w:val="NoSpacing"/>
        <w:numPr>
          <w:ilvl w:val="3"/>
          <w:numId w:val="3"/>
        </w:numPr>
        <w:rPr>
          <w:sz w:val="24"/>
          <w:szCs w:val="24"/>
        </w:rPr>
      </w:pPr>
      <w:r w:rsidRPr="00EA705D">
        <w:rPr>
          <w:sz w:val="24"/>
          <w:szCs w:val="24"/>
        </w:rPr>
        <w:t xml:space="preserve">DMSO </w:t>
      </w:r>
    </w:p>
    <w:p w:rsidR="000E55E6" w:rsidRPr="00EA705D" w:rsidRDefault="000E55E6" w:rsidP="003C2913">
      <w:pPr>
        <w:pStyle w:val="NoSpacing"/>
        <w:ind w:left="720" w:firstLine="720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For compounds who have none or lower solubility in assay buffer, %DMSO was applied to the assay. It was noticed that the addition of %DMSO will interfere the correlation of AFU vs </w:t>
      </w:r>
      <w:proofErr w:type="spellStart"/>
      <w:r w:rsidRPr="00EA705D">
        <w:rPr>
          <w:color w:val="0000FF"/>
          <w:sz w:val="24"/>
          <w:szCs w:val="24"/>
        </w:rPr>
        <w:t>uM</w:t>
      </w:r>
      <w:proofErr w:type="spellEnd"/>
      <w:r w:rsidRPr="00EA705D">
        <w:rPr>
          <w:color w:val="0000FF"/>
          <w:sz w:val="24"/>
          <w:szCs w:val="24"/>
        </w:rPr>
        <w:t xml:space="preserve">, which directs the misinterpretation of the experimental results. A comparison of standard curves in the presence of 0.5% and 5% DMSO were tested. </w:t>
      </w:r>
      <w:r w:rsidR="003C2913" w:rsidRPr="00EA705D">
        <w:rPr>
          <w:color w:val="0000FF"/>
          <w:sz w:val="24"/>
          <w:szCs w:val="24"/>
        </w:rPr>
        <w:t xml:space="preserve">In Table 1, the slope changes in the different % of DMSO, which indicates the addition of % DMSO influence the correlation between AFU and </w:t>
      </w:r>
      <w:proofErr w:type="spellStart"/>
      <w:r w:rsidR="003C2913" w:rsidRPr="00EA705D">
        <w:rPr>
          <w:color w:val="0000FF"/>
          <w:sz w:val="24"/>
          <w:szCs w:val="24"/>
        </w:rPr>
        <w:t>uM</w:t>
      </w:r>
      <w:proofErr w:type="spellEnd"/>
      <w:r w:rsidR="003C2913" w:rsidRPr="00EA705D">
        <w:rPr>
          <w:color w:val="0000FF"/>
          <w:sz w:val="24"/>
          <w:szCs w:val="24"/>
        </w:rPr>
        <w:t xml:space="preserve">. </w:t>
      </w:r>
    </w:p>
    <w:p w:rsidR="003C2913" w:rsidRPr="00EA705D" w:rsidRDefault="00E10B05" w:rsidP="000E55E6">
      <w:pPr>
        <w:pStyle w:val="NoSpacing"/>
        <w:ind w:left="720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Table 1</w:t>
      </w:r>
    </w:p>
    <w:tbl>
      <w:tblPr>
        <w:tblW w:w="6110" w:type="dxa"/>
        <w:jc w:val="center"/>
        <w:tblInd w:w="10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960"/>
        <w:gridCol w:w="1280"/>
        <w:gridCol w:w="1805"/>
        <w:gridCol w:w="2065"/>
      </w:tblGrid>
      <w:tr w:rsidR="003C2913" w:rsidRPr="003C2913" w:rsidTr="003C2913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0% DMSO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0.5% DMSO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5% DMSO</w:t>
            </w:r>
          </w:p>
        </w:tc>
      </w:tr>
      <w:tr w:rsidR="003C2913" w:rsidRPr="003C2913" w:rsidTr="003C2913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Slope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C2913" w:rsidRPr="003C2913" w:rsidRDefault="00D740AE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EA705D">
              <w:rPr>
                <w:rFonts w:eastAsia="Times New Roman" w:cs="Arial"/>
                <w:color w:val="0000FF"/>
                <w:sz w:val="24"/>
                <w:szCs w:val="24"/>
              </w:rPr>
              <w:t>224.2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236.2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C2913" w:rsidRPr="003C2913" w:rsidRDefault="003C2913" w:rsidP="003C2913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4"/>
                <w:szCs w:val="24"/>
              </w:rPr>
            </w:pPr>
            <w:r w:rsidRPr="003C2913">
              <w:rPr>
                <w:rFonts w:eastAsia="Times New Roman" w:cs="Arial"/>
                <w:color w:val="0000FF"/>
                <w:sz w:val="24"/>
                <w:szCs w:val="24"/>
              </w:rPr>
              <w:t>258.3</w:t>
            </w:r>
          </w:p>
        </w:tc>
      </w:tr>
    </w:tbl>
    <w:p w:rsidR="000E55E6" w:rsidRPr="00EA705D" w:rsidRDefault="00D740AE" w:rsidP="00D740AE">
      <w:pPr>
        <w:pStyle w:val="NoSpacing"/>
        <w:ind w:left="720"/>
        <w:jc w:val="center"/>
        <w:rPr>
          <w:color w:val="0000FF"/>
          <w:sz w:val="24"/>
          <w:szCs w:val="24"/>
        </w:rPr>
      </w:pPr>
      <w:r w:rsidRPr="00EA705D">
        <w:rPr>
          <w:noProof/>
          <w:sz w:val="24"/>
          <w:szCs w:val="24"/>
        </w:rPr>
        <w:drawing>
          <wp:inline distT="0" distB="0" distL="0" distR="0" wp14:anchorId="6F451F8E" wp14:editId="49D86BEB">
            <wp:extent cx="3800475" cy="28670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3073" w:rsidRPr="00EA705D" w:rsidRDefault="00363073" w:rsidP="00363073">
      <w:pPr>
        <w:pStyle w:val="NoSpacing"/>
        <w:ind w:left="720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1</w:t>
      </w:r>
    </w:p>
    <w:p w:rsidR="00363073" w:rsidRPr="00EA705D" w:rsidRDefault="00363073" w:rsidP="00363073">
      <w:pPr>
        <w:pStyle w:val="NoSpacing"/>
        <w:ind w:left="2160"/>
        <w:rPr>
          <w:sz w:val="24"/>
          <w:szCs w:val="24"/>
        </w:rPr>
      </w:pPr>
    </w:p>
    <w:p w:rsidR="001E7F23" w:rsidRPr="00EA705D" w:rsidRDefault="001E7F23" w:rsidP="00DC5B7C">
      <w:pPr>
        <w:pStyle w:val="NoSpacing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lastRenderedPageBreak/>
        <w:t xml:space="preserve">DHP1c </w:t>
      </w:r>
      <w:r w:rsidRPr="00EA705D">
        <w:rPr>
          <w:color w:val="0000FF"/>
          <w:sz w:val="24"/>
          <w:szCs w:val="24"/>
        </w:rPr>
        <w:t>(N-Benzyl-3</w:t>
      </w:r>
      <w:proofErr w:type="gramStart"/>
      <w:r w:rsidRPr="00EA705D">
        <w:rPr>
          <w:color w:val="0000FF"/>
          <w:sz w:val="24"/>
          <w:szCs w:val="24"/>
        </w:rPr>
        <w:t>,5</w:t>
      </w:r>
      <w:proofErr w:type="gramEnd"/>
      <w:r w:rsidRPr="00EA705D">
        <w:rPr>
          <w:color w:val="0000FF"/>
          <w:sz w:val="24"/>
          <w:szCs w:val="24"/>
        </w:rPr>
        <w:t>-dicarbethoxy-4-phenyl-1,4-dihydropyridine)</w:t>
      </w:r>
      <w:r w:rsidRPr="00EA705D">
        <w:rPr>
          <w:color w:val="0000FF"/>
          <w:sz w:val="24"/>
          <w:szCs w:val="24"/>
        </w:rPr>
        <w:t xml:space="preserve"> is reported as a potent activator for SIRT1. It activates human SIRT3 as well. Combined with NAM (a product inhibitor), DHP1c </w:t>
      </w:r>
      <w:r w:rsidRPr="00EA705D">
        <w:rPr>
          <w:color w:val="0000FF"/>
          <w:sz w:val="24"/>
          <w:szCs w:val="24"/>
        </w:rPr>
        <w:t>was used to test our theory in current manuscript.</w:t>
      </w:r>
      <w:r w:rsidRPr="00EA705D">
        <w:rPr>
          <w:color w:val="0000FF"/>
          <w:sz w:val="24"/>
          <w:szCs w:val="24"/>
        </w:rPr>
        <w:t xml:space="preserve"> 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The 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>DHP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>1c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 intrinsic fluorescence overlaps with the emission of the readout fluorophore.</w:t>
      </w:r>
      <w:r w:rsidR="008C3A7F" w:rsidRPr="00EA705D">
        <w:rPr>
          <w:rFonts w:eastAsia="Times New Roman" w:cs="Tahoma"/>
          <w:color w:val="0000FF"/>
          <w:sz w:val="24"/>
          <w:szCs w:val="24"/>
        </w:rPr>
        <w:t xml:space="preserve"> </w:t>
      </w:r>
      <w:r w:rsidRPr="00EA705D">
        <w:rPr>
          <w:color w:val="0000FF"/>
          <w:sz w:val="24"/>
          <w:szCs w:val="24"/>
        </w:rPr>
        <w:t xml:space="preserve">It </w:t>
      </w:r>
      <w:proofErr w:type="gramStart"/>
      <w:r w:rsidRPr="00EA705D">
        <w:rPr>
          <w:color w:val="0000FF"/>
          <w:sz w:val="24"/>
          <w:szCs w:val="24"/>
        </w:rPr>
        <w:t>interfere</w:t>
      </w:r>
      <w:r w:rsidR="00E2188A" w:rsidRPr="00EA705D">
        <w:rPr>
          <w:color w:val="0000FF"/>
          <w:sz w:val="24"/>
          <w:szCs w:val="24"/>
        </w:rPr>
        <w:t>s</w:t>
      </w:r>
      <w:proofErr w:type="gramEnd"/>
      <w:r w:rsidRPr="00EA705D">
        <w:rPr>
          <w:color w:val="0000FF"/>
          <w:sz w:val="24"/>
          <w:szCs w:val="24"/>
        </w:rPr>
        <w:t xml:space="preserve"> the readout. </w:t>
      </w:r>
    </w:p>
    <w:p w:rsidR="001E7F23" w:rsidRPr="00EA705D" w:rsidRDefault="00363073" w:rsidP="00363073">
      <w:pPr>
        <w:pStyle w:val="NoSpacing"/>
        <w:jc w:val="center"/>
        <w:rPr>
          <w:color w:val="0000FF"/>
          <w:sz w:val="24"/>
          <w:szCs w:val="24"/>
        </w:rPr>
      </w:pPr>
      <w:r w:rsidRPr="00EA705D">
        <w:rPr>
          <w:noProof/>
          <w:sz w:val="24"/>
          <w:szCs w:val="24"/>
        </w:rPr>
        <w:drawing>
          <wp:inline distT="0" distB="0" distL="0" distR="0" wp14:anchorId="0EB0EE6A" wp14:editId="34B71C65">
            <wp:extent cx="6021376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546" cy="458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73" w:rsidRPr="00EA705D" w:rsidRDefault="00363073" w:rsidP="00363073">
      <w:pPr>
        <w:pStyle w:val="NoSpacing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2</w:t>
      </w:r>
    </w:p>
    <w:p w:rsidR="00EA705D" w:rsidRPr="00EA705D" w:rsidRDefault="00EA705D" w:rsidP="00363073">
      <w:pPr>
        <w:pStyle w:val="NoSpacing"/>
        <w:jc w:val="center"/>
        <w:rPr>
          <w:b/>
          <w:color w:val="0000FF"/>
          <w:sz w:val="24"/>
          <w:szCs w:val="24"/>
        </w:rPr>
      </w:pPr>
    </w:p>
    <w:p w:rsidR="00EA705D" w:rsidRPr="00EA705D" w:rsidRDefault="00EA705D" w:rsidP="00363073">
      <w:pPr>
        <w:pStyle w:val="NoSpacing"/>
        <w:jc w:val="center"/>
        <w:rPr>
          <w:b/>
          <w:color w:val="0000FF"/>
          <w:sz w:val="24"/>
          <w:szCs w:val="24"/>
        </w:rPr>
      </w:pPr>
    </w:p>
    <w:p w:rsidR="00EA705D" w:rsidRPr="00EA705D" w:rsidRDefault="001E7F23" w:rsidP="00EA705D">
      <w:pPr>
        <w:jc w:val="both"/>
        <w:rPr>
          <w:rFonts w:eastAsia="Times New Roman" w:cs="Tahoma"/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To eliminate the influence from this compound, a series of standard curves were applied. </w:t>
      </w:r>
      <w:r w:rsidR="00141E34" w:rsidRPr="00EA705D">
        <w:rPr>
          <w:color w:val="0000FF"/>
          <w:sz w:val="24"/>
          <w:szCs w:val="24"/>
        </w:rPr>
        <w:t>Figure</w:t>
      </w:r>
      <w:r w:rsidRPr="00EA705D">
        <w:rPr>
          <w:color w:val="0000FF"/>
          <w:sz w:val="24"/>
          <w:szCs w:val="24"/>
        </w:rPr>
        <w:t xml:space="preserve"> </w:t>
      </w:r>
      <w:r w:rsidR="00363073" w:rsidRPr="00EA705D">
        <w:rPr>
          <w:color w:val="0000FF"/>
          <w:sz w:val="24"/>
          <w:szCs w:val="24"/>
        </w:rPr>
        <w:t>3</w:t>
      </w:r>
      <w:r w:rsidR="00141E34" w:rsidRPr="00EA705D">
        <w:rPr>
          <w:color w:val="0000FF"/>
          <w:sz w:val="24"/>
          <w:szCs w:val="24"/>
        </w:rPr>
        <w:t xml:space="preserve"> shows that </w:t>
      </w:r>
      <w:r w:rsidRPr="00EA705D">
        <w:rPr>
          <w:color w:val="0000FF"/>
          <w:sz w:val="24"/>
          <w:szCs w:val="24"/>
        </w:rPr>
        <w:t xml:space="preserve">the slopes of standard curves in the presence of different concentration of DHP1c </w:t>
      </w:r>
      <w:r w:rsidR="00141E34" w:rsidRPr="00EA705D">
        <w:rPr>
          <w:color w:val="0000FF"/>
          <w:sz w:val="24"/>
          <w:szCs w:val="24"/>
        </w:rPr>
        <w:t>vary in a big range.</w:t>
      </w:r>
      <w:r w:rsidRPr="00EA705D">
        <w:rPr>
          <w:color w:val="0000FF"/>
          <w:sz w:val="24"/>
          <w:szCs w:val="24"/>
        </w:rPr>
        <w:t xml:space="preserve"> </w:t>
      </w:r>
      <w:r w:rsidR="00EA705D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At lower [DHP], the intrinsic fluorescence can be subtracted for a baseline and there is approximate linearity of the AFU with respect to [standard]. </w:t>
      </w:r>
    </w:p>
    <w:p w:rsidR="000E553D" w:rsidRPr="00EA705D" w:rsidRDefault="000E553D" w:rsidP="00DC5B7C">
      <w:pPr>
        <w:pStyle w:val="NoSpacing"/>
        <w:jc w:val="both"/>
        <w:rPr>
          <w:color w:val="0000FF"/>
          <w:sz w:val="24"/>
          <w:szCs w:val="24"/>
        </w:rPr>
      </w:pPr>
    </w:p>
    <w:p w:rsidR="00E10B05" w:rsidRPr="00EA705D" w:rsidRDefault="00141E34" w:rsidP="00141E34">
      <w:pPr>
        <w:pStyle w:val="NoSpacing"/>
        <w:jc w:val="center"/>
        <w:rPr>
          <w:sz w:val="24"/>
          <w:szCs w:val="24"/>
        </w:rPr>
      </w:pPr>
      <w:r w:rsidRPr="00EA705D">
        <w:rPr>
          <w:noProof/>
          <w:sz w:val="24"/>
          <w:szCs w:val="24"/>
        </w:rPr>
        <w:lastRenderedPageBreak/>
        <w:drawing>
          <wp:inline distT="0" distB="0" distL="0" distR="0" wp14:anchorId="6FC917E5" wp14:editId="10A697CB">
            <wp:extent cx="3724275" cy="29051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1E34" w:rsidRPr="00EA705D" w:rsidRDefault="00363073" w:rsidP="00141E34">
      <w:pPr>
        <w:pStyle w:val="NoSpacing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3</w:t>
      </w:r>
    </w:p>
    <w:p w:rsidR="00EA705D" w:rsidRPr="00EA705D" w:rsidRDefault="00EA705D" w:rsidP="00141E34">
      <w:pPr>
        <w:pStyle w:val="NoSpacing"/>
        <w:jc w:val="center"/>
        <w:rPr>
          <w:b/>
          <w:color w:val="0000FF"/>
          <w:sz w:val="24"/>
          <w:szCs w:val="24"/>
        </w:rPr>
      </w:pPr>
    </w:p>
    <w:p w:rsidR="008C3A7F" w:rsidRPr="00EA705D" w:rsidRDefault="007D1D9E" w:rsidP="008C3A7F">
      <w:pPr>
        <w:jc w:val="both"/>
        <w:rPr>
          <w:rFonts w:eastAsia="Times New Roman" w:cs="Tahoma"/>
          <w:color w:val="000000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Interestingly, no linearity is detected for standard curves in the presence of higher DHP1c concentration (Figure 4). </w:t>
      </w:r>
      <w:r w:rsidRPr="007235CD">
        <w:rPr>
          <w:color w:val="0000FF"/>
          <w:sz w:val="24"/>
          <w:szCs w:val="24"/>
          <w:u w:val="single"/>
        </w:rPr>
        <w:t>This indicated that</w:t>
      </w:r>
      <w:r w:rsidR="008C3A7F" w:rsidRPr="007235CD">
        <w:rPr>
          <w:color w:val="0000FF"/>
          <w:sz w:val="24"/>
          <w:szCs w:val="24"/>
          <w:u w:val="single"/>
        </w:rPr>
        <w:t xml:space="preserve"> </w:t>
      </w:r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at higher concentrations the intrinsic fluorescence may be prone to quenching through undetermined mechanisms, as evidenced by the example of </w:t>
      </w:r>
      <w:proofErr w:type="spellStart"/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>FdL</w:t>
      </w:r>
      <w:proofErr w:type="spellEnd"/>
      <w:r w:rsidR="008C3A7F"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 standard.</w:t>
      </w:r>
      <w:r w:rsidR="008C3A7F" w:rsidRPr="00EA705D">
        <w:rPr>
          <w:rFonts w:eastAsia="Times New Roman" w:cs="Tahoma"/>
          <w:color w:val="0000FF"/>
          <w:sz w:val="24"/>
          <w:szCs w:val="24"/>
        </w:rPr>
        <w:t> </w:t>
      </w:r>
    </w:p>
    <w:p w:rsidR="007D1D9E" w:rsidRPr="00EA705D" w:rsidRDefault="007D1D9E" w:rsidP="007D1D9E">
      <w:pPr>
        <w:pStyle w:val="NoSpacing"/>
        <w:jc w:val="center"/>
        <w:rPr>
          <w:color w:val="0000FF"/>
          <w:sz w:val="24"/>
          <w:szCs w:val="24"/>
        </w:rPr>
      </w:pPr>
      <w:r w:rsidRPr="00EA705D">
        <w:rPr>
          <w:noProof/>
          <w:sz w:val="24"/>
          <w:szCs w:val="24"/>
        </w:rPr>
        <w:drawing>
          <wp:inline distT="0" distB="0" distL="0" distR="0" wp14:anchorId="6219F3ED" wp14:editId="18AFB93F">
            <wp:extent cx="3897718" cy="31623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7718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9E" w:rsidRPr="00EA705D" w:rsidRDefault="007D1D9E" w:rsidP="007D1D9E">
      <w:pPr>
        <w:pStyle w:val="NoSpacing"/>
        <w:jc w:val="center"/>
        <w:rPr>
          <w:b/>
          <w:color w:val="0000FF"/>
          <w:sz w:val="24"/>
          <w:szCs w:val="24"/>
        </w:rPr>
      </w:pPr>
      <w:r w:rsidRPr="00EA705D">
        <w:rPr>
          <w:b/>
          <w:color w:val="0000FF"/>
          <w:sz w:val="24"/>
          <w:szCs w:val="24"/>
        </w:rPr>
        <w:t>Figure 4</w:t>
      </w:r>
    </w:p>
    <w:p w:rsidR="00CA32B1" w:rsidRPr="00EA705D" w:rsidRDefault="00CA32B1" w:rsidP="007D1D9E">
      <w:pPr>
        <w:pStyle w:val="NoSpacing"/>
        <w:jc w:val="center"/>
        <w:rPr>
          <w:b/>
          <w:color w:val="0000FF"/>
          <w:sz w:val="24"/>
          <w:szCs w:val="24"/>
        </w:rPr>
      </w:pPr>
    </w:p>
    <w:p w:rsidR="00BF6745" w:rsidRPr="00EA705D" w:rsidRDefault="003C4860" w:rsidP="00DC5B7C">
      <w:pPr>
        <w:pStyle w:val="NoSpacing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In the past decade, the discovery of SIRT1 activators with antiaging activities in yeast, mammalian cells, worms and flies have greatly motivated the researches to find both inhibitors </w:t>
      </w:r>
      <w:r w:rsidRPr="00EA705D">
        <w:rPr>
          <w:color w:val="0000FF"/>
          <w:sz w:val="24"/>
          <w:szCs w:val="24"/>
        </w:rPr>
        <w:lastRenderedPageBreak/>
        <w:t>and activators of SIRTs. The use of biochemical SIRT assa</w:t>
      </w:r>
      <w:r w:rsidR="00BF6745" w:rsidRPr="00EA705D">
        <w:rPr>
          <w:color w:val="0000FF"/>
          <w:sz w:val="24"/>
          <w:szCs w:val="24"/>
        </w:rPr>
        <w:t xml:space="preserve">ys has become quite widespread for drug discovery. </w:t>
      </w:r>
    </w:p>
    <w:p w:rsidR="00BF6745" w:rsidRPr="00EA705D" w:rsidRDefault="00BF6745" w:rsidP="00ED2382">
      <w:pPr>
        <w:pStyle w:val="NoSpacing"/>
        <w:rPr>
          <w:color w:val="0000FF"/>
          <w:sz w:val="24"/>
          <w:szCs w:val="24"/>
        </w:rPr>
      </w:pPr>
    </w:p>
    <w:p w:rsidR="005E1762" w:rsidRPr="00EA705D" w:rsidRDefault="00BF6745" w:rsidP="00DC5B7C">
      <w:pPr>
        <w:pStyle w:val="NoSpacing"/>
        <w:jc w:val="both"/>
        <w:rPr>
          <w:color w:val="0000FF"/>
          <w:sz w:val="24"/>
          <w:szCs w:val="24"/>
        </w:rPr>
      </w:pPr>
      <w:r w:rsidRPr="00EA705D">
        <w:rPr>
          <w:color w:val="0000FF"/>
          <w:sz w:val="24"/>
          <w:szCs w:val="24"/>
        </w:rPr>
        <w:t xml:space="preserve">In general, </w:t>
      </w:r>
      <w:r w:rsidRPr="00EA705D">
        <w:rPr>
          <w:color w:val="0000FF"/>
          <w:sz w:val="24"/>
          <w:szCs w:val="24"/>
        </w:rPr>
        <w:t>SIRTs activity assay develop</w:t>
      </w:r>
      <w:r w:rsidRPr="00EA705D">
        <w:rPr>
          <w:color w:val="0000FF"/>
          <w:sz w:val="24"/>
          <w:szCs w:val="24"/>
        </w:rPr>
        <w:t xml:space="preserve">ment must be based on measuring the rates of one of three things: (1) appearance of free acetate, (2) disappearance of the acetylated substrate or (3) appearance of the </w:t>
      </w:r>
      <w:proofErr w:type="spellStart"/>
      <w:r w:rsidRPr="00EA705D">
        <w:rPr>
          <w:color w:val="0000FF"/>
          <w:sz w:val="24"/>
          <w:szCs w:val="24"/>
        </w:rPr>
        <w:t>deacetylated</w:t>
      </w:r>
      <w:proofErr w:type="spellEnd"/>
      <w:r w:rsidRPr="00EA705D">
        <w:rPr>
          <w:color w:val="0000FF"/>
          <w:sz w:val="24"/>
          <w:szCs w:val="24"/>
        </w:rPr>
        <w:t xml:space="preserve"> product. The traditional approaches used in </w:t>
      </w:r>
      <w:r w:rsidRPr="00EA705D">
        <w:rPr>
          <w:color w:val="0000FF"/>
          <w:sz w:val="24"/>
          <w:szCs w:val="24"/>
        </w:rPr>
        <w:t xml:space="preserve">SIRTs </w:t>
      </w:r>
      <w:r w:rsidRPr="00EA705D">
        <w:rPr>
          <w:color w:val="0000FF"/>
          <w:sz w:val="24"/>
          <w:szCs w:val="24"/>
        </w:rPr>
        <w:t>assays, such as MS, radioisotope detection and anti-acetylation antibodies are used, but particularly for compound screening and profiling applications, peptide-based fluoresce</w:t>
      </w:r>
      <w:r w:rsidR="005E1762" w:rsidRPr="00EA705D">
        <w:rPr>
          <w:color w:val="0000FF"/>
          <w:sz w:val="24"/>
          <w:szCs w:val="24"/>
        </w:rPr>
        <w:t>nce assays are far more popular. Among them, Fluor de Lys assay has been one of the most wildly used fluorescent assay systems [ref.].</w:t>
      </w:r>
      <w:r w:rsidR="00CA32B1" w:rsidRPr="00EA705D">
        <w:rPr>
          <w:color w:val="0000FF"/>
          <w:sz w:val="24"/>
          <w:szCs w:val="24"/>
        </w:rPr>
        <w:t xml:space="preserve"> </w:t>
      </w:r>
    </w:p>
    <w:p w:rsidR="00CA32B1" w:rsidRPr="00EA705D" w:rsidRDefault="00CA32B1" w:rsidP="00ED2382">
      <w:pPr>
        <w:pStyle w:val="NoSpacing"/>
        <w:rPr>
          <w:color w:val="0000FF"/>
          <w:sz w:val="24"/>
          <w:szCs w:val="24"/>
        </w:rPr>
      </w:pPr>
    </w:p>
    <w:p w:rsidR="00DC5B7C" w:rsidRPr="00EA705D" w:rsidRDefault="00CA32B1" w:rsidP="00DC5B7C">
      <w:pPr>
        <w:pStyle w:val="NoSpacing"/>
        <w:jc w:val="both"/>
        <w:rPr>
          <w:color w:val="0000FF"/>
          <w:sz w:val="24"/>
          <w:szCs w:val="24"/>
        </w:rPr>
      </w:pPr>
      <w:proofErr w:type="spellStart"/>
      <w:r w:rsidRPr="00EA705D">
        <w:rPr>
          <w:color w:val="0000FF"/>
          <w:sz w:val="24"/>
          <w:szCs w:val="24"/>
        </w:rPr>
        <w:t>SIRTainty</w:t>
      </w:r>
      <w:proofErr w:type="spellEnd"/>
      <w:r w:rsidRPr="00EA705D">
        <w:rPr>
          <w:color w:val="0000FF"/>
          <w:sz w:val="24"/>
          <w:szCs w:val="24"/>
        </w:rPr>
        <w:t xml:space="preserve"> is another </w:t>
      </w:r>
      <w:r w:rsidR="00DC5B7C" w:rsidRPr="00EA705D">
        <w:rPr>
          <w:color w:val="0000FF"/>
          <w:sz w:val="24"/>
          <w:szCs w:val="24"/>
        </w:rPr>
        <w:t xml:space="preserve">assay used for SIRTs modulator screening.  </w:t>
      </w:r>
      <w:proofErr w:type="spellStart"/>
      <w:r w:rsidR="00DC5B7C" w:rsidRPr="00EA705D">
        <w:rPr>
          <w:color w:val="0000FF"/>
          <w:sz w:val="24"/>
          <w:szCs w:val="24"/>
        </w:rPr>
        <w:t>SIRTainty</w:t>
      </w:r>
      <w:proofErr w:type="spellEnd"/>
      <w:r w:rsidR="00DC5B7C" w:rsidRPr="00EA705D">
        <w:rPr>
          <w:color w:val="0000FF"/>
          <w:sz w:val="24"/>
          <w:szCs w:val="24"/>
        </w:rPr>
        <w:t xml:space="preserve"> assay is a 3-step reaction system. First</w:t>
      </w:r>
      <w:r w:rsidR="00DC5B7C" w:rsidRPr="00EA705D">
        <w:rPr>
          <w:color w:val="0000FF"/>
          <w:sz w:val="24"/>
          <w:szCs w:val="24"/>
        </w:rPr>
        <w:t xml:space="preserve"> the acetylated peptide substrate is acted upon by the </w:t>
      </w:r>
      <w:proofErr w:type="spellStart"/>
      <w:r w:rsidR="00DC5B7C" w:rsidRPr="00EA705D">
        <w:rPr>
          <w:color w:val="0000FF"/>
          <w:sz w:val="24"/>
          <w:szCs w:val="24"/>
        </w:rPr>
        <w:t>sirtuin</w:t>
      </w:r>
      <w:proofErr w:type="spellEnd"/>
      <w:r w:rsidR="00DC5B7C" w:rsidRPr="00EA705D">
        <w:rPr>
          <w:color w:val="0000FF"/>
          <w:sz w:val="24"/>
          <w:szCs w:val="24"/>
        </w:rPr>
        <w:t xml:space="preserve"> enzyme to produce NAM. In a secondary reaction, the </w:t>
      </w:r>
      <w:proofErr w:type="spellStart"/>
      <w:r w:rsidR="00DC5B7C" w:rsidRPr="00EA705D">
        <w:rPr>
          <w:color w:val="0000FF"/>
          <w:sz w:val="24"/>
          <w:szCs w:val="24"/>
        </w:rPr>
        <w:t>nicotinamidase</w:t>
      </w:r>
      <w:proofErr w:type="spellEnd"/>
      <w:r w:rsidR="00DC5B7C" w:rsidRPr="00EA705D">
        <w:rPr>
          <w:color w:val="0000FF"/>
          <w:sz w:val="24"/>
          <w:szCs w:val="24"/>
        </w:rPr>
        <w:t xml:space="preserve"> enzyme converts the nicotinamide into nicotinic acid and NH3+ (free ammonia). To generate a signal for readout, a proprietary developer reagent is added and the signal is read using a fluorescent plate reader.</w:t>
      </w:r>
    </w:p>
    <w:p w:rsidR="00CA32B1" w:rsidRDefault="00CA32B1" w:rsidP="00ED2382">
      <w:pPr>
        <w:pStyle w:val="NoSpacing"/>
        <w:rPr>
          <w:color w:val="0000FF"/>
          <w:sz w:val="24"/>
          <w:szCs w:val="24"/>
        </w:rPr>
      </w:pPr>
    </w:p>
    <w:p w:rsidR="007235CD" w:rsidRPr="007235CD" w:rsidRDefault="007235CD" w:rsidP="007235CD">
      <w:pPr>
        <w:pStyle w:val="NoSpacing"/>
        <w:rPr>
          <w:rFonts w:eastAsia="Times New Roman" w:cs="Tahoma"/>
          <w:color w:val="0000FF"/>
          <w:sz w:val="24"/>
        </w:rPr>
      </w:pPr>
      <w:r w:rsidRPr="007235CD">
        <w:rPr>
          <w:color w:val="0000FF"/>
          <w:sz w:val="24"/>
        </w:rPr>
        <w:t xml:space="preserve">For both Fluor de Lys assay and </w:t>
      </w:r>
      <w:proofErr w:type="spellStart"/>
      <w:r w:rsidRPr="007235CD">
        <w:rPr>
          <w:color w:val="0000FF"/>
          <w:sz w:val="24"/>
        </w:rPr>
        <w:t>SIRTainty</w:t>
      </w:r>
      <w:proofErr w:type="spellEnd"/>
      <w:r w:rsidRPr="007235CD">
        <w:rPr>
          <w:color w:val="0000FF"/>
          <w:sz w:val="24"/>
        </w:rPr>
        <w:t xml:space="preserve"> assay</w:t>
      </w:r>
      <w:r w:rsidR="00A75014">
        <w:rPr>
          <w:color w:val="0000FF"/>
          <w:sz w:val="24"/>
        </w:rPr>
        <w:t xml:space="preserve">, </w:t>
      </w:r>
      <w:r w:rsidRPr="007235CD">
        <w:rPr>
          <w:rFonts w:eastAsia="Times New Roman" w:cs="Tahoma"/>
          <w:color w:val="0000FF"/>
          <w:sz w:val="24"/>
          <w:u w:val="single"/>
        </w:rPr>
        <w:t>it is essential to run proper standard curves at these concentrations of [DHP].</w:t>
      </w:r>
      <w:r w:rsidRPr="007235CD">
        <w:rPr>
          <w:rFonts w:eastAsia="Times New Roman" w:cs="Tahoma"/>
          <w:color w:val="0000FF"/>
          <w:sz w:val="24"/>
          <w:u w:val="single"/>
        </w:rPr>
        <w:t xml:space="preserve"> </w:t>
      </w:r>
    </w:p>
    <w:p w:rsidR="005E1762" w:rsidRDefault="005E1762" w:rsidP="007235CD">
      <w:pPr>
        <w:rPr>
          <w:color w:val="0000FF"/>
          <w:sz w:val="24"/>
          <w:szCs w:val="24"/>
        </w:rPr>
      </w:pPr>
    </w:p>
    <w:p w:rsidR="00A75014" w:rsidRPr="007235CD" w:rsidRDefault="00A75014" w:rsidP="007235CD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Need more work</w:t>
      </w:r>
      <w:proofErr w:type="gramStart"/>
      <w:r>
        <w:rPr>
          <w:color w:val="0000FF"/>
          <w:sz w:val="24"/>
          <w:szCs w:val="24"/>
        </w:rPr>
        <w:t>…</w:t>
      </w:r>
      <w:proofErr w:type="gramEnd"/>
    </w:p>
    <w:p w:rsidR="005E1762" w:rsidRPr="007235CD" w:rsidRDefault="005E1762" w:rsidP="007235CD">
      <w:pPr>
        <w:rPr>
          <w:color w:val="0000FF"/>
          <w:sz w:val="24"/>
          <w:szCs w:val="24"/>
        </w:rPr>
      </w:pPr>
    </w:p>
    <w:p w:rsidR="00EA705D" w:rsidRPr="00EA705D" w:rsidRDefault="00EA705D" w:rsidP="00ED2382">
      <w:pPr>
        <w:pStyle w:val="NoSpacing"/>
        <w:rPr>
          <w:color w:val="0000FF"/>
          <w:sz w:val="24"/>
          <w:szCs w:val="24"/>
        </w:rPr>
      </w:pPr>
    </w:p>
    <w:p w:rsidR="00EA705D" w:rsidRPr="00EA705D" w:rsidRDefault="00EA705D" w:rsidP="00ED2382">
      <w:pPr>
        <w:pStyle w:val="NoSpacing"/>
        <w:rPr>
          <w:color w:val="0000FF"/>
          <w:sz w:val="24"/>
          <w:szCs w:val="24"/>
        </w:rPr>
      </w:pPr>
    </w:p>
    <w:p w:rsidR="00EA705D" w:rsidRPr="007235CD" w:rsidRDefault="00EA705D" w:rsidP="00ED2382">
      <w:pPr>
        <w:pStyle w:val="NoSpacing"/>
        <w:rPr>
          <w:color w:val="0000FF"/>
          <w:sz w:val="24"/>
          <w:szCs w:val="24"/>
          <w:u w:val="single"/>
        </w:rPr>
      </w:pPr>
      <w:r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Based on the above observations with </w:t>
      </w:r>
      <w:proofErr w:type="spellStart"/>
      <w:r w:rsidRPr="007235CD">
        <w:rPr>
          <w:rFonts w:eastAsia="Times New Roman" w:cs="Tahoma"/>
          <w:color w:val="0000FF"/>
          <w:sz w:val="24"/>
          <w:szCs w:val="24"/>
          <w:u w:val="single"/>
        </w:rPr>
        <w:t>FdL</w:t>
      </w:r>
      <w:proofErr w:type="spellEnd"/>
      <w:r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, we settled on the use of HPLC for studies of DHP activation at higher concentrations, </w:t>
      </w:r>
      <w:proofErr w:type="spellStart"/>
      <w:proofErr w:type="gramStart"/>
      <w:r w:rsidRPr="007235CD">
        <w:rPr>
          <w:rFonts w:eastAsia="Times New Roman" w:cs="Tahoma"/>
          <w:color w:val="0000FF"/>
          <w:sz w:val="24"/>
          <w:szCs w:val="24"/>
          <w:u w:val="single"/>
        </w:rPr>
        <w:t>esp</w:t>
      </w:r>
      <w:proofErr w:type="spellEnd"/>
      <w:proofErr w:type="gramEnd"/>
      <w:r w:rsidRPr="007235CD">
        <w:rPr>
          <w:rFonts w:eastAsia="Times New Roman" w:cs="Tahoma"/>
          <w:color w:val="0000FF"/>
          <w:sz w:val="24"/>
          <w:szCs w:val="24"/>
          <w:u w:val="single"/>
        </w:rPr>
        <w:t xml:space="preserve"> saturating concentrations.</w:t>
      </w:r>
    </w:p>
    <w:p w:rsidR="00575DBB" w:rsidRPr="00EA705D" w:rsidRDefault="00575DBB" w:rsidP="00ED2382">
      <w:pPr>
        <w:pStyle w:val="NoSpacing"/>
        <w:rPr>
          <w:color w:val="0000FF"/>
          <w:sz w:val="24"/>
          <w:szCs w:val="24"/>
        </w:rPr>
      </w:pPr>
    </w:p>
    <w:p w:rsidR="00213AF7" w:rsidRDefault="0038006A" w:rsidP="009E1471">
      <w:pPr>
        <w:pStyle w:val="NoSpacing"/>
        <w:rPr>
          <w:b/>
          <w:sz w:val="24"/>
          <w:szCs w:val="24"/>
        </w:rPr>
      </w:pPr>
      <w:r w:rsidRPr="00EA705D">
        <w:rPr>
          <w:b/>
          <w:sz w:val="24"/>
          <w:szCs w:val="24"/>
        </w:rPr>
        <w:t>References</w:t>
      </w:r>
    </w:p>
    <w:p w:rsidR="00A75014" w:rsidRPr="00A75014" w:rsidRDefault="00A75014" w:rsidP="009E1471">
      <w:pPr>
        <w:pStyle w:val="NoSpacing"/>
        <w:rPr>
          <w:color w:val="0000FF"/>
          <w:sz w:val="24"/>
          <w:szCs w:val="24"/>
        </w:rPr>
      </w:pPr>
      <w:r w:rsidRPr="00A75014">
        <w:rPr>
          <w:color w:val="0000FF"/>
          <w:sz w:val="24"/>
          <w:szCs w:val="24"/>
        </w:rPr>
        <w:t>*D. Sinclair</w:t>
      </w:r>
    </w:p>
    <w:p w:rsidR="00A75014" w:rsidRPr="00A75014" w:rsidRDefault="00A75014" w:rsidP="009E1471">
      <w:pPr>
        <w:pStyle w:val="NoSpacing"/>
        <w:rPr>
          <w:color w:val="0000FF"/>
          <w:sz w:val="24"/>
          <w:szCs w:val="24"/>
        </w:rPr>
      </w:pPr>
      <w:r w:rsidRPr="00A75014">
        <w:rPr>
          <w:color w:val="0000FF"/>
          <w:sz w:val="24"/>
          <w:szCs w:val="24"/>
        </w:rPr>
        <w:t xml:space="preserve">*C. </w:t>
      </w:r>
      <w:proofErr w:type="spellStart"/>
      <w:r w:rsidRPr="00A75014">
        <w:rPr>
          <w:color w:val="0000FF"/>
          <w:sz w:val="24"/>
          <w:szCs w:val="24"/>
        </w:rPr>
        <w:t>Wolberger</w:t>
      </w:r>
      <w:proofErr w:type="spellEnd"/>
    </w:p>
    <w:p w:rsidR="00A75014" w:rsidRPr="00A75014" w:rsidRDefault="00A75014" w:rsidP="009E1471">
      <w:pPr>
        <w:pStyle w:val="NoSpacing"/>
        <w:rPr>
          <w:color w:val="0000FF"/>
          <w:sz w:val="24"/>
          <w:szCs w:val="24"/>
        </w:rPr>
      </w:pPr>
      <w:r w:rsidRPr="00A75014">
        <w:rPr>
          <w:color w:val="0000FF"/>
          <w:sz w:val="24"/>
          <w:szCs w:val="24"/>
        </w:rPr>
        <w:t xml:space="preserve">*C. </w:t>
      </w:r>
      <w:proofErr w:type="spellStart"/>
      <w:r w:rsidRPr="00A75014">
        <w:rPr>
          <w:color w:val="0000FF"/>
          <w:sz w:val="24"/>
          <w:szCs w:val="24"/>
        </w:rPr>
        <w:t>Steeger</w:t>
      </w:r>
      <w:proofErr w:type="spellEnd"/>
    </w:p>
    <w:p w:rsidR="00A75014" w:rsidRDefault="00A75014" w:rsidP="009E1471">
      <w:pPr>
        <w:pStyle w:val="NoSpacing"/>
        <w:rPr>
          <w:b/>
          <w:sz w:val="24"/>
          <w:szCs w:val="24"/>
        </w:rPr>
      </w:pPr>
    </w:p>
    <w:p w:rsidR="00A75014" w:rsidRPr="00A75014" w:rsidRDefault="00A75014" w:rsidP="009E1471">
      <w:pPr>
        <w:pStyle w:val="NoSpacing"/>
        <w:rPr>
          <w:b/>
          <w:sz w:val="24"/>
          <w:szCs w:val="24"/>
        </w:rPr>
      </w:pPr>
    </w:p>
    <w:p w:rsidR="00213AF7" w:rsidRPr="00EA705D" w:rsidRDefault="00213AF7" w:rsidP="00213AF7">
      <w:pPr>
        <w:rPr>
          <w:rFonts w:eastAsia="Times New Roman" w:cs="Tahoma"/>
          <w:color w:val="000000"/>
          <w:sz w:val="24"/>
          <w:szCs w:val="24"/>
        </w:rPr>
      </w:pPr>
    </w:p>
    <w:p w:rsidR="00213AF7" w:rsidRPr="00EA705D" w:rsidRDefault="00213AF7" w:rsidP="00213AF7">
      <w:pPr>
        <w:rPr>
          <w:rFonts w:eastAsia="Times New Roman" w:cs="Tahoma"/>
          <w:color w:val="000000"/>
          <w:sz w:val="24"/>
          <w:szCs w:val="24"/>
        </w:rPr>
      </w:pPr>
    </w:p>
    <w:p w:rsidR="00213AF7" w:rsidRPr="00EA705D" w:rsidRDefault="00213AF7" w:rsidP="00A75014">
      <w:pPr>
        <w:rPr>
          <w:rFonts w:cs="Helvetica"/>
          <w:color w:val="000000"/>
          <w:sz w:val="24"/>
          <w:szCs w:val="24"/>
        </w:rPr>
      </w:pPr>
      <w:r w:rsidRPr="00EA705D">
        <w:rPr>
          <w:rFonts w:eastAsia="Times New Roman" w:cs="Tahoma"/>
          <w:color w:val="000000"/>
          <w:sz w:val="24"/>
          <w:szCs w:val="24"/>
        </w:rPr>
        <w:t xml:space="preserve">-- We can't be sure that the </w:t>
      </w:r>
      <w:proofErr w:type="spellStart"/>
      <w:r w:rsidRPr="00EA705D">
        <w:rPr>
          <w:rFonts w:eastAsia="Times New Roman" w:cs="Tahoma"/>
          <w:color w:val="000000"/>
          <w:sz w:val="24"/>
          <w:szCs w:val="24"/>
        </w:rPr>
        <w:t>Sirtainty</w:t>
      </w:r>
      <w:proofErr w:type="spellEnd"/>
      <w:r w:rsidRPr="00EA705D">
        <w:rPr>
          <w:rFonts w:eastAsia="Times New Roman" w:cs="Tahoma"/>
          <w:color w:val="000000"/>
          <w:sz w:val="24"/>
          <w:szCs w:val="24"/>
        </w:rPr>
        <w:t xml:space="preserve"> assay fluorophore will have the same types of problems (e.g., quenching of intrinsic fluorescence of DHP) that we observed here with </w:t>
      </w:r>
      <w:proofErr w:type="spellStart"/>
      <w:r w:rsidRPr="00EA705D">
        <w:rPr>
          <w:rFonts w:eastAsia="Times New Roman" w:cs="Tahoma"/>
          <w:color w:val="000000"/>
          <w:sz w:val="24"/>
          <w:szCs w:val="24"/>
        </w:rPr>
        <w:t>FdL</w:t>
      </w:r>
      <w:proofErr w:type="spellEnd"/>
      <w:r w:rsidRPr="00EA705D">
        <w:rPr>
          <w:rFonts w:eastAsia="Times New Roman" w:cs="Tahoma"/>
          <w:color w:val="000000"/>
          <w:sz w:val="24"/>
          <w:szCs w:val="24"/>
        </w:rPr>
        <w:t xml:space="preserve">, and hence we can't be sure that it won't be possible to use </w:t>
      </w:r>
      <w:proofErr w:type="spellStart"/>
      <w:r w:rsidRPr="00EA705D">
        <w:rPr>
          <w:rFonts w:eastAsia="Times New Roman" w:cs="Tahoma"/>
          <w:color w:val="000000"/>
          <w:sz w:val="24"/>
          <w:szCs w:val="24"/>
        </w:rPr>
        <w:t>Sirtainty</w:t>
      </w:r>
      <w:proofErr w:type="spellEnd"/>
      <w:r w:rsidRPr="00EA705D">
        <w:rPr>
          <w:rFonts w:eastAsia="Times New Roman" w:cs="Tahoma"/>
          <w:color w:val="000000"/>
          <w:sz w:val="24"/>
          <w:szCs w:val="24"/>
        </w:rPr>
        <w:t xml:space="preserve"> screening to assay higher DHP concentrations</w:t>
      </w:r>
      <w:bookmarkStart w:id="0" w:name="_GoBack"/>
      <w:bookmarkEnd w:id="0"/>
    </w:p>
    <w:sectPr w:rsidR="00213AF7" w:rsidRPr="00EA705D" w:rsidSect="003C291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119"/>
    <w:multiLevelType w:val="hybridMultilevel"/>
    <w:tmpl w:val="B57CD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6F69"/>
    <w:multiLevelType w:val="hybridMultilevel"/>
    <w:tmpl w:val="7988E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0520F"/>
    <w:multiLevelType w:val="hybridMultilevel"/>
    <w:tmpl w:val="7F14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71"/>
    <w:rsid w:val="00037B48"/>
    <w:rsid w:val="000855A9"/>
    <w:rsid w:val="000C563C"/>
    <w:rsid w:val="000D738D"/>
    <w:rsid w:val="000E553D"/>
    <w:rsid w:val="000E55E6"/>
    <w:rsid w:val="000F57B8"/>
    <w:rsid w:val="00141E34"/>
    <w:rsid w:val="001963C6"/>
    <w:rsid w:val="00197E98"/>
    <w:rsid w:val="001C55F0"/>
    <w:rsid w:val="001E7F23"/>
    <w:rsid w:val="00213AF7"/>
    <w:rsid w:val="002770EE"/>
    <w:rsid w:val="00291BFB"/>
    <w:rsid w:val="0029631B"/>
    <w:rsid w:val="002D555C"/>
    <w:rsid w:val="002E1B15"/>
    <w:rsid w:val="00323A9A"/>
    <w:rsid w:val="00363073"/>
    <w:rsid w:val="0038006A"/>
    <w:rsid w:val="00382521"/>
    <w:rsid w:val="003C2913"/>
    <w:rsid w:val="003C4860"/>
    <w:rsid w:val="004A185D"/>
    <w:rsid w:val="004E7C6F"/>
    <w:rsid w:val="00566EB1"/>
    <w:rsid w:val="00575DBB"/>
    <w:rsid w:val="005E1762"/>
    <w:rsid w:val="00600547"/>
    <w:rsid w:val="006A0710"/>
    <w:rsid w:val="006A50AB"/>
    <w:rsid w:val="006D2DE1"/>
    <w:rsid w:val="007235CD"/>
    <w:rsid w:val="007324AA"/>
    <w:rsid w:val="00741331"/>
    <w:rsid w:val="00781405"/>
    <w:rsid w:val="007D1D9E"/>
    <w:rsid w:val="008075FF"/>
    <w:rsid w:val="008432F2"/>
    <w:rsid w:val="008713EB"/>
    <w:rsid w:val="008C10D7"/>
    <w:rsid w:val="008C3A7F"/>
    <w:rsid w:val="008E2757"/>
    <w:rsid w:val="008F468D"/>
    <w:rsid w:val="009469E7"/>
    <w:rsid w:val="00956669"/>
    <w:rsid w:val="0096453A"/>
    <w:rsid w:val="00982676"/>
    <w:rsid w:val="009E1471"/>
    <w:rsid w:val="00A047F7"/>
    <w:rsid w:val="00A315F4"/>
    <w:rsid w:val="00A75014"/>
    <w:rsid w:val="00AA421E"/>
    <w:rsid w:val="00AE1D42"/>
    <w:rsid w:val="00B57B4D"/>
    <w:rsid w:val="00B736F8"/>
    <w:rsid w:val="00BA6719"/>
    <w:rsid w:val="00BF6745"/>
    <w:rsid w:val="00C03BB7"/>
    <w:rsid w:val="00CA32B1"/>
    <w:rsid w:val="00CB0E89"/>
    <w:rsid w:val="00D42B82"/>
    <w:rsid w:val="00D56A41"/>
    <w:rsid w:val="00D740AE"/>
    <w:rsid w:val="00DB4AB3"/>
    <w:rsid w:val="00DC5B7C"/>
    <w:rsid w:val="00E10B05"/>
    <w:rsid w:val="00E2188A"/>
    <w:rsid w:val="00E778FB"/>
    <w:rsid w:val="00E94300"/>
    <w:rsid w:val="00EA705D"/>
    <w:rsid w:val="00ED2382"/>
    <w:rsid w:val="00F53AD8"/>
    <w:rsid w:val="00FB362A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471"/>
    <w:pPr>
      <w:spacing w:after="0" w:line="240" w:lineRule="auto"/>
    </w:pPr>
  </w:style>
  <w:style w:type="character" w:customStyle="1" w:styleId="hlfld-title">
    <w:name w:val="hlfld-title"/>
    <w:basedOn w:val="DefaultParagraphFont"/>
    <w:rsid w:val="00E778FB"/>
  </w:style>
  <w:style w:type="paragraph" w:styleId="BalloonText">
    <w:name w:val="Balloon Text"/>
    <w:basedOn w:val="Normal"/>
    <w:link w:val="BalloonTextChar"/>
    <w:uiPriority w:val="99"/>
    <w:semiHidden/>
    <w:unhideWhenUsed/>
    <w:rsid w:val="003C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471"/>
    <w:pPr>
      <w:spacing w:after="0" w:line="240" w:lineRule="auto"/>
    </w:pPr>
  </w:style>
  <w:style w:type="character" w:customStyle="1" w:styleId="hlfld-title">
    <w:name w:val="hlfld-title"/>
    <w:basedOn w:val="DefaultParagraphFont"/>
    <w:rsid w:val="00E778FB"/>
  </w:style>
  <w:style w:type="paragraph" w:styleId="BalloonText">
    <w:name w:val="Balloon Text"/>
    <w:basedOn w:val="Normal"/>
    <w:link w:val="BalloonTextChar"/>
    <w:uiPriority w:val="99"/>
    <w:semiHidden/>
    <w:unhideWhenUsed/>
    <w:rsid w:val="003C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2016\02.11.2016-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2016\02.11.2016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93065998329156"/>
          <c:y val="3.2882035578885971E-2"/>
          <c:w val="0.80407685881370095"/>
          <c:h val="0.78169364246135897"/>
        </c:manualLayout>
      </c:layout>
      <c:scatterChart>
        <c:scatterStyle val="lineMarker"/>
        <c:varyColors val="0"/>
        <c:ser>
          <c:idx val="1"/>
          <c:order val="0"/>
          <c:tx>
            <c:v>0.5% DMSO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C00000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Sheet3!$B$17:$B$23</c:f>
              <c:numCache>
                <c:formatCode>General</c:formatCode>
                <c:ptCount val="7"/>
                <c:pt idx="0">
                  <c:v>0</c:v>
                </c:pt>
                <c:pt idx="1">
                  <c:v>0.46875</c:v>
                </c:pt>
                <c:pt idx="2">
                  <c:v>0.9375</c:v>
                </c:pt>
                <c:pt idx="3">
                  <c:v>1.875</c:v>
                </c:pt>
                <c:pt idx="4">
                  <c:v>3.75</c:v>
                </c:pt>
                <c:pt idx="5">
                  <c:v>7.5</c:v>
                </c:pt>
                <c:pt idx="6">
                  <c:v>15</c:v>
                </c:pt>
              </c:numCache>
            </c:numRef>
          </c:xVal>
          <c:yVal>
            <c:numRef>
              <c:f>Sheet3!$D$17:$D$23</c:f>
              <c:numCache>
                <c:formatCode>General</c:formatCode>
                <c:ptCount val="7"/>
                <c:pt idx="0">
                  <c:v>0</c:v>
                </c:pt>
                <c:pt idx="1">
                  <c:v>174</c:v>
                </c:pt>
                <c:pt idx="2">
                  <c:v>346</c:v>
                </c:pt>
                <c:pt idx="3">
                  <c:v>627</c:v>
                </c:pt>
                <c:pt idx="4">
                  <c:v>1094</c:v>
                </c:pt>
                <c:pt idx="5">
                  <c:v>1966</c:v>
                </c:pt>
                <c:pt idx="6">
                  <c:v>3361</c:v>
                </c:pt>
              </c:numCache>
            </c:numRef>
          </c:yVal>
          <c:smooth val="0"/>
        </c:ser>
        <c:ser>
          <c:idx val="2"/>
          <c:order val="1"/>
          <c:tx>
            <c:v>5% DMSO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Sheet3!$B$17:$B$23</c:f>
              <c:numCache>
                <c:formatCode>General</c:formatCode>
                <c:ptCount val="7"/>
                <c:pt idx="0">
                  <c:v>0</c:v>
                </c:pt>
                <c:pt idx="1">
                  <c:v>0.46875</c:v>
                </c:pt>
                <c:pt idx="2">
                  <c:v>0.9375</c:v>
                </c:pt>
                <c:pt idx="3">
                  <c:v>1.875</c:v>
                </c:pt>
                <c:pt idx="4">
                  <c:v>3.75</c:v>
                </c:pt>
                <c:pt idx="5">
                  <c:v>7.5</c:v>
                </c:pt>
                <c:pt idx="6">
                  <c:v>15</c:v>
                </c:pt>
              </c:numCache>
            </c:numRef>
          </c:xVal>
          <c:yVal>
            <c:numRef>
              <c:f>Sheet3!$E$17:$E$23</c:f>
              <c:numCache>
                <c:formatCode>General</c:formatCode>
                <c:ptCount val="7"/>
                <c:pt idx="0">
                  <c:v>0</c:v>
                </c:pt>
                <c:pt idx="1">
                  <c:v>188</c:v>
                </c:pt>
                <c:pt idx="2">
                  <c:v>356</c:v>
                </c:pt>
                <c:pt idx="3">
                  <c:v>674</c:v>
                </c:pt>
                <c:pt idx="4">
                  <c:v>1198</c:v>
                </c:pt>
                <c:pt idx="5">
                  <c:v>2139</c:v>
                </c:pt>
                <c:pt idx="6">
                  <c:v>3683</c:v>
                </c:pt>
              </c:numCache>
            </c:numRef>
          </c:yVal>
          <c:smooth val="0"/>
        </c:ser>
        <c:ser>
          <c:idx val="3"/>
          <c:order val="2"/>
          <c:tx>
            <c:v>0% DMSO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1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Sheet3!$B$17:$B$24</c:f>
              <c:numCache>
                <c:formatCode>General</c:formatCode>
                <c:ptCount val="8"/>
                <c:pt idx="0">
                  <c:v>0</c:v>
                </c:pt>
                <c:pt idx="1">
                  <c:v>0.46875</c:v>
                </c:pt>
                <c:pt idx="2">
                  <c:v>0.9375</c:v>
                </c:pt>
                <c:pt idx="3">
                  <c:v>1.875</c:v>
                </c:pt>
                <c:pt idx="4">
                  <c:v>3.75</c:v>
                </c:pt>
                <c:pt idx="5">
                  <c:v>7.5</c:v>
                </c:pt>
                <c:pt idx="6">
                  <c:v>15</c:v>
                </c:pt>
                <c:pt idx="7">
                  <c:v>30</c:v>
                </c:pt>
              </c:numCache>
            </c:numRef>
          </c:xVal>
          <c:yVal>
            <c:numRef>
              <c:f>Sheet3!$F$17:$F$24</c:f>
              <c:numCache>
                <c:formatCode>General</c:formatCode>
                <c:ptCount val="8"/>
                <c:pt idx="0">
                  <c:v>0</c:v>
                </c:pt>
                <c:pt idx="1">
                  <c:v>190</c:v>
                </c:pt>
                <c:pt idx="2">
                  <c:v>361</c:v>
                </c:pt>
                <c:pt idx="3">
                  <c:v>668</c:v>
                </c:pt>
                <c:pt idx="4">
                  <c:v>1217</c:v>
                </c:pt>
                <c:pt idx="5">
                  <c:v>2032</c:v>
                </c:pt>
                <c:pt idx="6">
                  <c:v>3787</c:v>
                </c:pt>
                <c:pt idx="7">
                  <c:v>6350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753984"/>
        <c:axId val="165755904"/>
      </c:scatterChart>
      <c:valAx>
        <c:axId val="165753984"/>
        <c:scaling>
          <c:orientation val="minMax"/>
          <c:max val="1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[Fluor de Lys deacetylated standard], uM</a:t>
                </a:r>
              </a:p>
            </c:rich>
          </c:tx>
          <c:layout>
            <c:manualLayout>
              <c:xMode val="edge"/>
              <c:yMode val="edge"/>
              <c:x val="0.28312733635568282"/>
              <c:y val="0.92997619483611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5755904"/>
        <c:crosses val="autoZero"/>
        <c:crossBetween val="midCat"/>
        <c:majorUnit val="2"/>
      </c:valAx>
      <c:valAx>
        <c:axId val="165755904"/>
        <c:scaling>
          <c:orientation val="minMax"/>
          <c:max val="4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AFU</a:t>
                </a:r>
              </a:p>
            </c:rich>
          </c:tx>
          <c:layout>
            <c:manualLayout>
              <c:xMode val="edge"/>
              <c:yMode val="edge"/>
              <c:x val="2.208145034502266E-3"/>
              <c:y val="0.3433583592748580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5753984"/>
        <c:crosses val="autoZero"/>
        <c:crossBetween val="midCat"/>
      </c:valAx>
      <c:spPr>
        <a:ln>
          <a:solidFill>
            <a:schemeClr val="tx1"/>
          </a:solidFill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11712473003811587"/>
          <c:y val="4.5720326625838428E-2"/>
          <c:w val="0.42420522609498995"/>
          <c:h val="0.149299722951297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303642600230526"/>
          <c:y val="5.1400554097404488E-2"/>
          <c:w val="0.78791595495007571"/>
          <c:h val="0.79095290172061827"/>
        </c:manualLayout>
      </c:layout>
      <c:scatterChart>
        <c:scatterStyle val="lineMarker"/>
        <c:varyColors val="0"/>
        <c:ser>
          <c:idx val="1"/>
          <c:order val="0"/>
          <c:tx>
            <c:v>10uM DHP1c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2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Sheet3!$I$8:$I$15</c:f>
              <c:numCache>
                <c:formatCode>General</c:formatCode>
                <c:ptCount val="8"/>
                <c:pt idx="0">
                  <c:v>0</c:v>
                </c:pt>
                <c:pt idx="1">
                  <c:v>0.234375</c:v>
                </c:pt>
                <c:pt idx="2">
                  <c:v>0.46875</c:v>
                </c:pt>
                <c:pt idx="3">
                  <c:v>0.9375</c:v>
                </c:pt>
                <c:pt idx="4">
                  <c:v>1.875</c:v>
                </c:pt>
                <c:pt idx="5">
                  <c:v>3.75</c:v>
                </c:pt>
                <c:pt idx="6">
                  <c:v>7.5</c:v>
                </c:pt>
                <c:pt idx="7">
                  <c:v>15</c:v>
                </c:pt>
              </c:numCache>
            </c:numRef>
          </c:xVal>
          <c:yVal>
            <c:numRef>
              <c:f>Sheet3!$K$8:$K$15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43</c:v>
                </c:pt>
                <c:pt idx="3">
                  <c:v>146</c:v>
                </c:pt>
                <c:pt idx="4">
                  <c:v>281</c:v>
                </c:pt>
                <c:pt idx="5">
                  <c:v>536</c:v>
                </c:pt>
                <c:pt idx="6">
                  <c:v>1014</c:v>
                </c:pt>
                <c:pt idx="7">
                  <c:v>1761</c:v>
                </c:pt>
              </c:numCache>
            </c:numRef>
          </c:yVal>
          <c:smooth val="0"/>
        </c:ser>
        <c:ser>
          <c:idx val="2"/>
          <c:order val="1"/>
          <c:tx>
            <c:v>50uM DHP1c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3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Sheet3!$I$8:$I$15</c:f>
              <c:numCache>
                <c:formatCode>General</c:formatCode>
                <c:ptCount val="8"/>
                <c:pt idx="0">
                  <c:v>0</c:v>
                </c:pt>
                <c:pt idx="1">
                  <c:v>0.234375</c:v>
                </c:pt>
                <c:pt idx="2">
                  <c:v>0.46875</c:v>
                </c:pt>
                <c:pt idx="3">
                  <c:v>0.9375</c:v>
                </c:pt>
                <c:pt idx="4">
                  <c:v>1.875</c:v>
                </c:pt>
                <c:pt idx="5">
                  <c:v>3.75</c:v>
                </c:pt>
                <c:pt idx="6">
                  <c:v>7.5</c:v>
                </c:pt>
                <c:pt idx="7">
                  <c:v>15</c:v>
                </c:pt>
              </c:numCache>
            </c:numRef>
          </c:xVal>
          <c:yVal>
            <c:numRef>
              <c:f>Sheet3!$L$8:$L$15</c:f>
              <c:numCache>
                <c:formatCode>General</c:formatCode>
                <c:ptCount val="8"/>
                <c:pt idx="0">
                  <c:v>0</c:v>
                </c:pt>
                <c:pt idx="1">
                  <c:v>42</c:v>
                </c:pt>
                <c:pt idx="2">
                  <c:v>125</c:v>
                </c:pt>
                <c:pt idx="3">
                  <c:v>212</c:v>
                </c:pt>
                <c:pt idx="4">
                  <c:v>303</c:v>
                </c:pt>
                <c:pt idx="5">
                  <c:v>508</c:v>
                </c:pt>
                <c:pt idx="6">
                  <c:v>991</c:v>
                </c:pt>
                <c:pt idx="7">
                  <c:v>1655</c:v>
                </c:pt>
              </c:numCache>
            </c:numRef>
          </c:yVal>
          <c:smooth val="0"/>
        </c:ser>
        <c:ser>
          <c:idx val="3"/>
          <c:order val="2"/>
          <c:tx>
            <c:v>100uM DHP1c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chemeClr val="accent4"/>
                </a:solidFill>
              </a:ln>
            </c:spPr>
            <c:trendlineType val="linear"/>
            <c:intercept val="0"/>
            <c:dispRSqr val="0"/>
            <c:dispEq val="0"/>
          </c:trendline>
          <c:xVal>
            <c:numRef>
              <c:f>Sheet3!$I$8:$I$15</c:f>
              <c:numCache>
                <c:formatCode>General</c:formatCode>
                <c:ptCount val="8"/>
                <c:pt idx="0">
                  <c:v>0</c:v>
                </c:pt>
                <c:pt idx="1">
                  <c:v>0.234375</c:v>
                </c:pt>
                <c:pt idx="2">
                  <c:v>0.46875</c:v>
                </c:pt>
                <c:pt idx="3">
                  <c:v>0.9375</c:v>
                </c:pt>
                <c:pt idx="4">
                  <c:v>1.875</c:v>
                </c:pt>
                <c:pt idx="5">
                  <c:v>3.75</c:v>
                </c:pt>
                <c:pt idx="6">
                  <c:v>7.5</c:v>
                </c:pt>
                <c:pt idx="7">
                  <c:v>15</c:v>
                </c:pt>
              </c:numCache>
            </c:numRef>
          </c:xVal>
          <c:yVal>
            <c:numRef>
              <c:f>Sheet3!$M$8:$M$15</c:f>
              <c:numCache>
                <c:formatCode>General</c:formatCode>
                <c:ptCount val="8"/>
                <c:pt idx="0">
                  <c:v>0</c:v>
                </c:pt>
                <c:pt idx="1">
                  <c:v>62</c:v>
                </c:pt>
                <c:pt idx="2">
                  <c:v>162</c:v>
                </c:pt>
                <c:pt idx="3">
                  <c:v>280</c:v>
                </c:pt>
                <c:pt idx="4">
                  <c:v>411</c:v>
                </c:pt>
                <c:pt idx="5">
                  <c:v>526</c:v>
                </c:pt>
                <c:pt idx="6">
                  <c:v>728</c:v>
                </c:pt>
                <c:pt idx="7">
                  <c:v>1344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418560"/>
        <c:axId val="176500736"/>
      </c:scatterChart>
      <c:valAx>
        <c:axId val="172418560"/>
        <c:scaling>
          <c:orientation val="minMax"/>
          <c:max val="1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[Fluor de Lys deacetylated standard], uM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500736"/>
        <c:crosses val="autoZero"/>
        <c:crossBetween val="midCat"/>
        <c:majorUnit val="2"/>
      </c:valAx>
      <c:valAx>
        <c:axId val="176500736"/>
        <c:scaling>
          <c:orientation val="minMax"/>
          <c:max val="2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AFU</a:t>
                </a:r>
              </a:p>
            </c:rich>
          </c:tx>
          <c:layout>
            <c:manualLayout>
              <c:xMode val="edge"/>
              <c:yMode val="edge"/>
              <c:x val="2.804093932702856E-3"/>
              <c:y val="0.372386264216972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418560"/>
        <c:crosses val="autoZero"/>
        <c:crossBetween val="midCat"/>
      </c:valAx>
      <c:spPr>
        <a:ln>
          <a:solidFill>
            <a:schemeClr val="tx1">
              <a:lumMod val="65000"/>
              <a:lumOff val="35000"/>
            </a:schemeClr>
          </a:solidFill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1.8137438702515118E-2"/>
          <c:y val="5.9609215514727323E-2"/>
          <c:w val="0.72430909858665138"/>
          <c:h val="0.1840102799650043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9</cp:revision>
  <dcterms:created xsi:type="dcterms:W3CDTF">2016-02-12T20:48:00Z</dcterms:created>
  <dcterms:modified xsi:type="dcterms:W3CDTF">2016-02-16T21:52:00Z</dcterms:modified>
</cp:coreProperties>
</file>