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300" w:rsidRPr="00EA705D" w:rsidRDefault="009E1471" w:rsidP="004E7C6F">
      <w:pPr>
        <w:jc w:val="center"/>
        <w:rPr>
          <w:b/>
          <w:sz w:val="24"/>
          <w:szCs w:val="24"/>
        </w:rPr>
      </w:pPr>
      <w:r w:rsidRPr="00EA705D">
        <w:rPr>
          <w:b/>
          <w:sz w:val="24"/>
          <w:szCs w:val="24"/>
        </w:rPr>
        <w:t>SI preparation for standard curve</w:t>
      </w:r>
    </w:p>
    <w:p w:rsidR="009E1471" w:rsidRPr="00EA705D" w:rsidRDefault="009E1471" w:rsidP="009E1471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EA705D">
        <w:rPr>
          <w:sz w:val="24"/>
          <w:szCs w:val="24"/>
        </w:rPr>
        <w:t xml:space="preserve">The purpose of Standard curve </w:t>
      </w:r>
    </w:p>
    <w:p w:rsidR="000E55E6" w:rsidRPr="00EA705D" w:rsidRDefault="000E55E6" w:rsidP="003C2913">
      <w:pPr>
        <w:pStyle w:val="NoSpacing"/>
        <w:ind w:left="720" w:firstLine="720"/>
        <w:jc w:val="both"/>
        <w:rPr>
          <w:color w:val="0000FF"/>
          <w:sz w:val="24"/>
          <w:szCs w:val="24"/>
        </w:rPr>
      </w:pPr>
      <w:r w:rsidRPr="00EA705D">
        <w:rPr>
          <w:color w:val="0000FF"/>
          <w:sz w:val="24"/>
          <w:szCs w:val="24"/>
        </w:rPr>
        <w:t>Through the manuscript, the calculation of all the kinetic parameters and model fittings were based on the micro molar (</w:t>
      </w:r>
      <w:proofErr w:type="spellStart"/>
      <w:r w:rsidRPr="00EA705D">
        <w:rPr>
          <w:color w:val="0000FF"/>
          <w:sz w:val="24"/>
          <w:szCs w:val="24"/>
        </w:rPr>
        <w:t>uM</w:t>
      </w:r>
      <w:proofErr w:type="spellEnd"/>
      <w:r w:rsidRPr="00EA705D">
        <w:rPr>
          <w:color w:val="0000FF"/>
          <w:sz w:val="24"/>
          <w:szCs w:val="24"/>
        </w:rPr>
        <w:t xml:space="preserve">) of </w:t>
      </w:r>
      <w:proofErr w:type="spellStart"/>
      <w:r w:rsidRPr="00EA705D">
        <w:rPr>
          <w:color w:val="0000FF"/>
          <w:sz w:val="24"/>
          <w:szCs w:val="24"/>
        </w:rPr>
        <w:t>deacetylated</w:t>
      </w:r>
      <w:proofErr w:type="spellEnd"/>
      <w:r w:rsidRPr="00EA705D">
        <w:rPr>
          <w:color w:val="0000FF"/>
          <w:sz w:val="24"/>
          <w:szCs w:val="24"/>
        </w:rPr>
        <w:t xml:space="preserve"> product (</w:t>
      </w:r>
      <w:proofErr w:type="spellStart"/>
      <w:r w:rsidRPr="00EA705D">
        <w:rPr>
          <w:color w:val="0000FF"/>
          <w:sz w:val="24"/>
          <w:szCs w:val="24"/>
        </w:rPr>
        <w:t>deacetylated</w:t>
      </w:r>
      <w:proofErr w:type="spellEnd"/>
      <w:r w:rsidRPr="00EA705D">
        <w:rPr>
          <w:color w:val="0000FF"/>
          <w:sz w:val="24"/>
          <w:szCs w:val="24"/>
        </w:rPr>
        <w:t xml:space="preserve"> peptide) within different time points. Fluorescence signal (AFU) was used as readout in the </w:t>
      </w:r>
      <w:proofErr w:type="spellStart"/>
      <w:r w:rsidRPr="00EA705D">
        <w:rPr>
          <w:color w:val="0000FF"/>
          <w:sz w:val="24"/>
          <w:szCs w:val="24"/>
        </w:rPr>
        <w:t>FdL</w:t>
      </w:r>
      <w:proofErr w:type="spellEnd"/>
      <w:r w:rsidRPr="00EA705D">
        <w:rPr>
          <w:color w:val="0000FF"/>
          <w:sz w:val="24"/>
          <w:szCs w:val="24"/>
        </w:rPr>
        <w:t xml:space="preserve"> assay. The use of correct correlation between AFU and </w:t>
      </w:r>
      <w:proofErr w:type="spellStart"/>
      <w:r w:rsidRPr="00EA705D">
        <w:rPr>
          <w:color w:val="0000FF"/>
          <w:sz w:val="24"/>
          <w:szCs w:val="24"/>
        </w:rPr>
        <w:t>uM</w:t>
      </w:r>
      <w:proofErr w:type="spellEnd"/>
      <w:r w:rsidRPr="00EA705D">
        <w:rPr>
          <w:color w:val="0000FF"/>
          <w:sz w:val="24"/>
          <w:szCs w:val="24"/>
        </w:rPr>
        <w:t xml:space="preserve"> becomes critical for the success of parameter calculation and model fitting. Therefore, a precise series of standard curves w</w:t>
      </w:r>
      <w:r w:rsidR="004A185D" w:rsidRPr="00EA705D">
        <w:rPr>
          <w:color w:val="0000FF"/>
          <w:sz w:val="24"/>
          <w:szCs w:val="24"/>
        </w:rPr>
        <w:t>ere</w:t>
      </w:r>
      <w:r w:rsidRPr="00EA705D">
        <w:rPr>
          <w:color w:val="0000FF"/>
          <w:sz w:val="24"/>
          <w:szCs w:val="24"/>
        </w:rPr>
        <w:t xml:space="preserve"> used in the current manuscript for such purpose.</w:t>
      </w:r>
    </w:p>
    <w:p w:rsidR="000E55E6" w:rsidRPr="00EA705D" w:rsidRDefault="000E55E6" w:rsidP="000E55E6">
      <w:pPr>
        <w:pStyle w:val="NoSpacing"/>
        <w:ind w:left="720"/>
        <w:rPr>
          <w:sz w:val="24"/>
          <w:szCs w:val="24"/>
        </w:rPr>
      </w:pPr>
      <w:r w:rsidRPr="00EA705D">
        <w:rPr>
          <w:sz w:val="24"/>
          <w:szCs w:val="24"/>
        </w:rPr>
        <w:tab/>
      </w:r>
    </w:p>
    <w:p w:rsidR="009E1471" w:rsidRPr="00EA705D" w:rsidRDefault="009E1471" w:rsidP="009E1471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EA705D">
        <w:rPr>
          <w:sz w:val="24"/>
          <w:szCs w:val="24"/>
        </w:rPr>
        <w:t>The misleading by using wrong standard curve</w:t>
      </w:r>
    </w:p>
    <w:p w:rsidR="009E1471" w:rsidRPr="00EA705D" w:rsidRDefault="009E1471" w:rsidP="009E1471">
      <w:pPr>
        <w:pStyle w:val="NoSpacing"/>
        <w:numPr>
          <w:ilvl w:val="1"/>
          <w:numId w:val="3"/>
        </w:numPr>
        <w:rPr>
          <w:sz w:val="24"/>
          <w:szCs w:val="24"/>
        </w:rPr>
      </w:pPr>
      <w:r w:rsidRPr="00EA705D">
        <w:rPr>
          <w:sz w:val="24"/>
          <w:szCs w:val="24"/>
        </w:rPr>
        <w:t>Standard curve in assay buffer does not represent the real experimental behavior.</w:t>
      </w:r>
    </w:p>
    <w:p w:rsidR="000E553D" w:rsidRPr="00EA705D" w:rsidRDefault="000E553D" w:rsidP="009E1471">
      <w:pPr>
        <w:pStyle w:val="NoSpacing"/>
        <w:numPr>
          <w:ilvl w:val="2"/>
          <w:numId w:val="3"/>
        </w:numPr>
        <w:rPr>
          <w:sz w:val="24"/>
          <w:szCs w:val="24"/>
        </w:rPr>
      </w:pPr>
      <w:r w:rsidRPr="00EA705D">
        <w:rPr>
          <w:sz w:val="24"/>
          <w:szCs w:val="24"/>
        </w:rPr>
        <w:t>The component of reaction solution influence the outcome</w:t>
      </w:r>
    </w:p>
    <w:p w:rsidR="000E553D" w:rsidRPr="00EA705D" w:rsidRDefault="000E553D" w:rsidP="000E553D">
      <w:pPr>
        <w:pStyle w:val="NoSpacing"/>
        <w:numPr>
          <w:ilvl w:val="3"/>
          <w:numId w:val="3"/>
        </w:numPr>
        <w:rPr>
          <w:sz w:val="24"/>
          <w:szCs w:val="24"/>
        </w:rPr>
      </w:pPr>
      <w:r w:rsidRPr="00EA705D">
        <w:rPr>
          <w:sz w:val="24"/>
          <w:szCs w:val="24"/>
        </w:rPr>
        <w:t>NAD+</w:t>
      </w:r>
    </w:p>
    <w:p w:rsidR="009E1471" w:rsidRPr="00EA705D" w:rsidRDefault="009E1471" w:rsidP="000E553D">
      <w:pPr>
        <w:pStyle w:val="NoSpacing"/>
        <w:numPr>
          <w:ilvl w:val="4"/>
          <w:numId w:val="3"/>
        </w:numPr>
        <w:rPr>
          <w:sz w:val="24"/>
          <w:szCs w:val="24"/>
        </w:rPr>
      </w:pPr>
      <w:r w:rsidRPr="00EA705D">
        <w:rPr>
          <w:sz w:val="24"/>
          <w:szCs w:val="24"/>
        </w:rPr>
        <w:t>Show comparison of Standard curve in only assay buffer and in the presence of NAD+</w:t>
      </w:r>
    </w:p>
    <w:p w:rsidR="000E553D" w:rsidRPr="00EA705D" w:rsidRDefault="000E553D" w:rsidP="000E553D">
      <w:pPr>
        <w:pStyle w:val="NoSpacing"/>
        <w:numPr>
          <w:ilvl w:val="3"/>
          <w:numId w:val="3"/>
        </w:numPr>
        <w:rPr>
          <w:sz w:val="24"/>
          <w:szCs w:val="24"/>
        </w:rPr>
      </w:pPr>
      <w:r w:rsidRPr="00EA705D">
        <w:rPr>
          <w:sz w:val="24"/>
          <w:szCs w:val="24"/>
        </w:rPr>
        <w:t xml:space="preserve">DMSO </w:t>
      </w:r>
    </w:p>
    <w:p w:rsidR="000E55E6" w:rsidRPr="00EA705D" w:rsidRDefault="000E55E6" w:rsidP="003C2913">
      <w:pPr>
        <w:pStyle w:val="NoSpacing"/>
        <w:ind w:left="720" w:firstLine="720"/>
        <w:jc w:val="both"/>
        <w:rPr>
          <w:color w:val="0000FF"/>
          <w:sz w:val="24"/>
          <w:szCs w:val="24"/>
        </w:rPr>
      </w:pPr>
      <w:r w:rsidRPr="00EA705D">
        <w:rPr>
          <w:color w:val="0000FF"/>
          <w:sz w:val="24"/>
          <w:szCs w:val="24"/>
        </w:rPr>
        <w:t xml:space="preserve">For compounds who have none or lower solubility in assay buffer, %DMSO was applied to the assay. It was noticed that the addition of %DMSO will interfere the correlation of AFU vs </w:t>
      </w:r>
      <w:proofErr w:type="spellStart"/>
      <w:r w:rsidRPr="00EA705D">
        <w:rPr>
          <w:color w:val="0000FF"/>
          <w:sz w:val="24"/>
          <w:szCs w:val="24"/>
        </w:rPr>
        <w:t>uM</w:t>
      </w:r>
      <w:proofErr w:type="spellEnd"/>
      <w:r w:rsidRPr="00EA705D">
        <w:rPr>
          <w:color w:val="0000FF"/>
          <w:sz w:val="24"/>
          <w:szCs w:val="24"/>
        </w:rPr>
        <w:t xml:space="preserve">, which directs the misinterpretation of the experimental results. A comparison of standard curves in the presence of 0.5% and 5% DMSO were tested. </w:t>
      </w:r>
      <w:r w:rsidR="003C2913" w:rsidRPr="00EA705D">
        <w:rPr>
          <w:color w:val="0000FF"/>
          <w:sz w:val="24"/>
          <w:szCs w:val="24"/>
        </w:rPr>
        <w:t xml:space="preserve">In Table 1, the slope changes in the different % of DMSO, which indicates the addition of % DMSO influence the correlation between AFU and </w:t>
      </w:r>
      <w:proofErr w:type="spellStart"/>
      <w:r w:rsidR="003C2913" w:rsidRPr="00EA705D">
        <w:rPr>
          <w:color w:val="0000FF"/>
          <w:sz w:val="24"/>
          <w:szCs w:val="24"/>
        </w:rPr>
        <w:t>uM</w:t>
      </w:r>
      <w:proofErr w:type="spellEnd"/>
      <w:r w:rsidR="003C2913" w:rsidRPr="00EA705D">
        <w:rPr>
          <w:color w:val="0000FF"/>
          <w:sz w:val="24"/>
          <w:szCs w:val="24"/>
        </w:rPr>
        <w:t xml:space="preserve">. </w:t>
      </w:r>
    </w:p>
    <w:p w:rsidR="003C2913" w:rsidRPr="00EA705D" w:rsidRDefault="00E10B05" w:rsidP="000E55E6">
      <w:pPr>
        <w:pStyle w:val="NoSpacing"/>
        <w:ind w:left="720"/>
        <w:rPr>
          <w:b/>
          <w:color w:val="0000FF"/>
          <w:sz w:val="24"/>
          <w:szCs w:val="24"/>
        </w:rPr>
      </w:pPr>
      <w:r w:rsidRPr="00EA705D">
        <w:rPr>
          <w:b/>
          <w:color w:val="0000FF"/>
          <w:sz w:val="24"/>
          <w:szCs w:val="24"/>
        </w:rPr>
        <w:t>Table 1</w:t>
      </w:r>
    </w:p>
    <w:tbl>
      <w:tblPr>
        <w:tblW w:w="6110" w:type="dxa"/>
        <w:jc w:val="center"/>
        <w:tblInd w:w="103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4A0" w:firstRow="1" w:lastRow="0" w:firstColumn="1" w:lastColumn="0" w:noHBand="0" w:noVBand="1"/>
      </w:tblPr>
      <w:tblGrid>
        <w:gridCol w:w="960"/>
        <w:gridCol w:w="1280"/>
        <w:gridCol w:w="1805"/>
        <w:gridCol w:w="2065"/>
      </w:tblGrid>
      <w:tr w:rsidR="003C2913" w:rsidRPr="003C2913" w:rsidTr="003C2913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2913" w:rsidRPr="003C2913" w:rsidRDefault="003C2913" w:rsidP="003C2913">
            <w:pPr>
              <w:spacing w:after="0" w:line="240" w:lineRule="auto"/>
              <w:jc w:val="center"/>
              <w:rPr>
                <w:rFonts w:eastAsia="Times New Roman" w:cs="Arial"/>
                <w:color w:val="0000FF"/>
                <w:sz w:val="24"/>
                <w:szCs w:val="24"/>
              </w:rPr>
            </w:pPr>
            <w:r w:rsidRPr="003C2913">
              <w:rPr>
                <w:rFonts w:eastAsia="Times New Roman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C2913" w:rsidRPr="003C2913" w:rsidRDefault="003C2913" w:rsidP="003C2913">
            <w:pPr>
              <w:spacing w:after="0" w:line="240" w:lineRule="auto"/>
              <w:jc w:val="center"/>
              <w:rPr>
                <w:rFonts w:eastAsia="Times New Roman" w:cs="Arial"/>
                <w:color w:val="0000FF"/>
                <w:sz w:val="24"/>
                <w:szCs w:val="24"/>
              </w:rPr>
            </w:pPr>
            <w:r w:rsidRPr="003C2913">
              <w:rPr>
                <w:rFonts w:eastAsia="Times New Roman" w:cs="Arial"/>
                <w:color w:val="0000FF"/>
                <w:sz w:val="24"/>
                <w:szCs w:val="24"/>
              </w:rPr>
              <w:t>0% DMSO</w:t>
            </w:r>
          </w:p>
        </w:tc>
        <w:tc>
          <w:tcPr>
            <w:tcW w:w="1805" w:type="dxa"/>
            <w:shd w:val="clear" w:color="auto" w:fill="auto"/>
            <w:noWrap/>
            <w:vAlign w:val="center"/>
            <w:hideMark/>
          </w:tcPr>
          <w:p w:rsidR="003C2913" w:rsidRPr="003C2913" w:rsidRDefault="003C2913" w:rsidP="003C2913">
            <w:pPr>
              <w:spacing w:after="0" w:line="240" w:lineRule="auto"/>
              <w:jc w:val="center"/>
              <w:rPr>
                <w:rFonts w:eastAsia="Times New Roman" w:cs="Arial"/>
                <w:color w:val="0000FF"/>
                <w:sz w:val="24"/>
                <w:szCs w:val="24"/>
              </w:rPr>
            </w:pPr>
            <w:r w:rsidRPr="003C2913">
              <w:rPr>
                <w:rFonts w:eastAsia="Times New Roman" w:cs="Arial"/>
                <w:color w:val="0000FF"/>
                <w:sz w:val="24"/>
                <w:szCs w:val="24"/>
              </w:rPr>
              <w:t>0.5% DMSO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3C2913" w:rsidRPr="003C2913" w:rsidRDefault="003C2913" w:rsidP="003C2913">
            <w:pPr>
              <w:spacing w:after="0" w:line="240" w:lineRule="auto"/>
              <w:jc w:val="center"/>
              <w:rPr>
                <w:rFonts w:eastAsia="Times New Roman" w:cs="Arial"/>
                <w:color w:val="0000FF"/>
                <w:sz w:val="24"/>
                <w:szCs w:val="24"/>
              </w:rPr>
            </w:pPr>
            <w:r w:rsidRPr="003C2913">
              <w:rPr>
                <w:rFonts w:eastAsia="Times New Roman" w:cs="Arial"/>
                <w:color w:val="0000FF"/>
                <w:sz w:val="24"/>
                <w:szCs w:val="24"/>
              </w:rPr>
              <w:t>5% DMSO</w:t>
            </w:r>
          </w:p>
        </w:tc>
      </w:tr>
      <w:tr w:rsidR="003C2913" w:rsidRPr="003C2913" w:rsidTr="003C2913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2913" w:rsidRPr="003C2913" w:rsidRDefault="003C2913" w:rsidP="003C2913">
            <w:pPr>
              <w:spacing w:after="0" w:line="240" w:lineRule="auto"/>
              <w:jc w:val="center"/>
              <w:rPr>
                <w:rFonts w:eastAsia="Times New Roman" w:cs="Arial"/>
                <w:color w:val="0000FF"/>
                <w:sz w:val="24"/>
                <w:szCs w:val="24"/>
              </w:rPr>
            </w:pPr>
            <w:r w:rsidRPr="003C2913">
              <w:rPr>
                <w:rFonts w:eastAsia="Times New Roman" w:cs="Arial"/>
                <w:color w:val="0000FF"/>
                <w:sz w:val="24"/>
                <w:szCs w:val="24"/>
              </w:rPr>
              <w:t>Slope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C2913" w:rsidRPr="003C2913" w:rsidRDefault="00D740AE" w:rsidP="003C2913">
            <w:pPr>
              <w:spacing w:after="0" w:line="240" w:lineRule="auto"/>
              <w:jc w:val="center"/>
              <w:rPr>
                <w:rFonts w:eastAsia="Times New Roman" w:cs="Arial"/>
                <w:color w:val="0000FF"/>
                <w:sz w:val="24"/>
                <w:szCs w:val="24"/>
              </w:rPr>
            </w:pPr>
            <w:r w:rsidRPr="00EA705D">
              <w:rPr>
                <w:rFonts w:eastAsia="Times New Roman" w:cs="Arial"/>
                <w:color w:val="0000FF"/>
                <w:sz w:val="24"/>
                <w:szCs w:val="24"/>
              </w:rPr>
              <w:t>224.2</w:t>
            </w:r>
          </w:p>
        </w:tc>
        <w:tc>
          <w:tcPr>
            <w:tcW w:w="1805" w:type="dxa"/>
            <w:shd w:val="clear" w:color="auto" w:fill="auto"/>
            <w:noWrap/>
            <w:vAlign w:val="center"/>
            <w:hideMark/>
          </w:tcPr>
          <w:p w:rsidR="003C2913" w:rsidRPr="003C2913" w:rsidRDefault="003C2913" w:rsidP="003C2913">
            <w:pPr>
              <w:spacing w:after="0" w:line="240" w:lineRule="auto"/>
              <w:jc w:val="center"/>
              <w:rPr>
                <w:rFonts w:eastAsia="Times New Roman" w:cs="Arial"/>
                <w:color w:val="0000FF"/>
                <w:sz w:val="24"/>
                <w:szCs w:val="24"/>
              </w:rPr>
            </w:pPr>
            <w:r w:rsidRPr="003C2913">
              <w:rPr>
                <w:rFonts w:eastAsia="Times New Roman" w:cs="Arial"/>
                <w:color w:val="0000FF"/>
                <w:sz w:val="24"/>
                <w:szCs w:val="24"/>
              </w:rPr>
              <w:t>236.2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3C2913" w:rsidRPr="003C2913" w:rsidRDefault="003C2913" w:rsidP="003C2913">
            <w:pPr>
              <w:spacing w:after="0" w:line="240" w:lineRule="auto"/>
              <w:jc w:val="center"/>
              <w:rPr>
                <w:rFonts w:eastAsia="Times New Roman" w:cs="Arial"/>
                <w:color w:val="0000FF"/>
                <w:sz w:val="24"/>
                <w:szCs w:val="24"/>
              </w:rPr>
            </w:pPr>
            <w:r w:rsidRPr="003C2913">
              <w:rPr>
                <w:rFonts w:eastAsia="Times New Roman" w:cs="Arial"/>
                <w:color w:val="0000FF"/>
                <w:sz w:val="24"/>
                <w:szCs w:val="24"/>
              </w:rPr>
              <w:t>258.3</w:t>
            </w:r>
          </w:p>
        </w:tc>
      </w:tr>
    </w:tbl>
    <w:p w:rsidR="000E55E6" w:rsidRPr="00EA705D" w:rsidRDefault="00D740AE" w:rsidP="00D740AE">
      <w:pPr>
        <w:pStyle w:val="NoSpacing"/>
        <w:ind w:left="720"/>
        <w:jc w:val="center"/>
        <w:rPr>
          <w:color w:val="0000FF"/>
          <w:sz w:val="24"/>
          <w:szCs w:val="24"/>
        </w:rPr>
      </w:pPr>
      <w:r w:rsidRPr="00EA705D">
        <w:rPr>
          <w:noProof/>
          <w:sz w:val="24"/>
          <w:szCs w:val="24"/>
        </w:rPr>
        <w:drawing>
          <wp:inline distT="0" distB="0" distL="0" distR="0" wp14:anchorId="6F451F8E" wp14:editId="49D86BEB">
            <wp:extent cx="3800475" cy="2867025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63073" w:rsidRPr="00EA705D" w:rsidRDefault="00363073" w:rsidP="00363073">
      <w:pPr>
        <w:pStyle w:val="NoSpacing"/>
        <w:ind w:left="720"/>
        <w:jc w:val="center"/>
        <w:rPr>
          <w:b/>
          <w:color w:val="0000FF"/>
          <w:sz w:val="24"/>
          <w:szCs w:val="24"/>
        </w:rPr>
      </w:pPr>
      <w:r w:rsidRPr="00EA705D">
        <w:rPr>
          <w:b/>
          <w:color w:val="0000FF"/>
          <w:sz w:val="24"/>
          <w:szCs w:val="24"/>
        </w:rPr>
        <w:t>Figure 1</w:t>
      </w:r>
    </w:p>
    <w:p w:rsidR="00363073" w:rsidRPr="00EA705D" w:rsidRDefault="00363073" w:rsidP="00363073">
      <w:pPr>
        <w:pStyle w:val="NoSpacing"/>
        <w:ind w:left="2160"/>
        <w:rPr>
          <w:sz w:val="24"/>
          <w:szCs w:val="24"/>
        </w:rPr>
      </w:pPr>
    </w:p>
    <w:p w:rsidR="001E7F23" w:rsidRPr="00EA705D" w:rsidRDefault="001E7F23" w:rsidP="00DC5B7C">
      <w:pPr>
        <w:pStyle w:val="NoSpacing"/>
        <w:jc w:val="both"/>
        <w:rPr>
          <w:color w:val="0000FF"/>
          <w:sz w:val="24"/>
          <w:szCs w:val="24"/>
        </w:rPr>
      </w:pPr>
      <w:r w:rsidRPr="00EA705D">
        <w:rPr>
          <w:color w:val="0000FF"/>
          <w:sz w:val="24"/>
          <w:szCs w:val="24"/>
        </w:rPr>
        <w:lastRenderedPageBreak/>
        <w:t xml:space="preserve">DHP1c </w:t>
      </w:r>
      <w:r w:rsidRPr="00EA705D">
        <w:rPr>
          <w:color w:val="0000FF"/>
          <w:sz w:val="24"/>
          <w:szCs w:val="24"/>
        </w:rPr>
        <w:t>(N-Benzyl-3</w:t>
      </w:r>
      <w:proofErr w:type="gramStart"/>
      <w:r w:rsidRPr="00EA705D">
        <w:rPr>
          <w:color w:val="0000FF"/>
          <w:sz w:val="24"/>
          <w:szCs w:val="24"/>
        </w:rPr>
        <w:t>,5</w:t>
      </w:r>
      <w:proofErr w:type="gramEnd"/>
      <w:r w:rsidRPr="00EA705D">
        <w:rPr>
          <w:color w:val="0000FF"/>
          <w:sz w:val="24"/>
          <w:szCs w:val="24"/>
        </w:rPr>
        <w:t>-dicarbethoxy-4-phenyl-1,4-dihydropyridine)</w:t>
      </w:r>
      <w:r w:rsidRPr="00EA705D">
        <w:rPr>
          <w:color w:val="0000FF"/>
          <w:sz w:val="24"/>
          <w:szCs w:val="24"/>
        </w:rPr>
        <w:t xml:space="preserve"> is reported as a potent activator for SIRT1. It activates human SIRT3 as well. Combined with NAM (a product inhibitor), DHP1c </w:t>
      </w:r>
      <w:r w:rsidRPr="00EA705D">
        <w:rPr>
          <w:color w:val="0000FF"/>
          <w:sz w:val="24"/>
          <w:szCs w:val="24"/>
        </w:rPr>
        <w:t>was used to test our theory in current manuscript.</w:t>
      </w:r>
      <w:r w:rsidRPr="00EA705D">
        <w:rPr>
          <w:color w:val="0000FF"/>
          <w:sz w:val="24"/>
          <w:szCs w:val="24"/>
        </w:rPr>
        <w:t xml:space="preserve"> </w:t>
      </w:r>
      <w:r w:rsidR="008C3A7F" w:rsidRPr="007235CD">
        <w:rPr>
          <w:rFonts w:eastAsia="Times New Roman" w:cs="Tahoma"/>
          <w:color w:val="0000FF"/>
          <w:sz w:val="24"/>
          <w:szCs w:val="24"/>
          <w:u w:val="single"/>
        </w:rPr>
        <w:t xml:space="preserve">The </w:t>
      </w:r>
      <w:r w:rsidR="008C3A7F" w:rsidRPr="007235CD">
        <w:rPr>
          <w:rFonts w:eastAsia="Times New Roman" w:cs="Tahoma"/>
          <w:color w:val="0000FF"/>
          <w:sz w:val="24"/>
          <w:szCs w:val="24"/>
          <w:u w:val="single"/>
        </w:rPr>
        <w:t>DHP</w:t>
      </w:r>
      <w:r w:rsidR="008C3A7F" w:rsidRPr="007235CD">
        <w:rPr>
          <w:rFonts w:eastAsia="Times New Roman" w:cs="Tahoma"/>
          <w:color w:val="0000FF"/>
          <w:sz w:val="24"/>
          <w:szCs w:val="24"/>
          <w:u w:val="single"/>
        </w:rPr>
        <w:t>1c</w:t>
      </w:r>
      <w:r w:rsidR="008C3A7F" w:rsidRPr="007235CD">
        <w:rPr>
          <w:rFonts w:eastAsia="Times New Roman" w:cs="Tahoma"/>
          <w:color w:val="0000FF"/>
          <w:sz w:val="24"/>
          <w:szCs w:val="24"/>
          <w:u w:val="single"/>
        </w:rPr>
        <w:t xml:space="preserve"> intrinsic fluorescence overlaps with the emission of the readout fluorophore.</w:t>
      </w:r>
      <w:r w:rsidR="008C3A7F" w:rsidRPr="00EA705D">
        <w:rPr>
          <w:rFonts w:eastAsia="Times New Roman" w:cs="Tahoma"/>
          <w:color w:val="0000FF"/>
          <w:sz w:val="24"/>
          <w:szCs w:val="24"/>
        </w:rPr>
        <w:t xml:space="preserve"> </w:t>
      </w:r>
      <w:r w:rsidRPr="00EA705D">
        <w:rPr>
          <w:color w:val="0000FF"/>
          <w:sz w:val="24"/>
          <w:szCs w:val="24"/>
        </w:rPr>
        <w:t xml:space="preserve">It </w:t>
      </w:r>
      <w:proofErr w:type="gramStart"/>
      <w:r w:rsidRPr="00EA705D">
        <w:rPr>
          <w:color w:val="0000FF"/>
          <w:sz w:val="24"/>
          <w:szCs w:val="24"/>
        </w:rPr>
        <w:t>interfere</w:t>
      </w:r>
      <w:r w:rsidR="00E2188A" w:rsidRPr="00EA705D">
        <w:rPr>
          <w:color w:val="0000FF"/>
          <w:sz w:val="24"/>
          <w:szCs w:val="24"/>
        </w:rPr>
        <w:t>s</w:t>
      </w:r>
      <w:proofErr w:type="gramEnd"/>
      <w:r w:rsidRPr="00EA705D">
        <w:rPr>
          <w:color w:val="0000FF"/>
          <w:sz w:val="24"/>
          <w:szCs w:val="24"/>
        </w:rPr>
        <w:t xml:space="preserve"> the readout. </w:t>
      </w:r>
    </w:p>
    <w:p w:rsidR="001E7F23" w:rsidRPr="00EA705D" w:rsidRDefault="00363073" w:rsidP="00363073">
      <w:pPr>
        <w:pStyle w:val="NoSpacing"/>
        <w:jc w:val="center"/>
        <w:rPr>
          <w:color w:val="0000FF"/>
          <w:sz w:val="24"/>
          <w:szCs w:val="24"/>
        </w:rPr>
      </w:pPr>
      <w:r w:rsidRPr="00EA705D">
        <w:rPr>
          <w:noProof/>
          <w:sz w:val="24"/>
          <w:szCs w:val="24"/>
        </w:rPr>
        <w:drawing>
          <wp:inline distT="0" distB="0" distL="0" distR="0" wp14:anchorId="0EB0EE6A" wp14:editId="34B71C65">
            <wp:extent cx="5795575" cy="44005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07846" cy="4409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3073" w:rsidRPr="00EA705D" w:rsidRDefault="00363073" w:rsidP="00363073">
      <w:pPr>
        <w:pStyle w:val="NoSpacing"/>
        <w:jc w:val="center"/>
        <w:rPr>
          <w:b/>
          <w:color w:val="0000FF"/>
          <w:sz w:val="24"/>
          <w:szCs w:val="24"/>
        </w:rPr>
      </w:pPr>
      <w:r w:rsidRPr="00EA705D">
        <w:rPr>
          <w:b/>
          <w:color w:val="0000FF"/>
          <w:sz w:val="24"/>
          <w:szCs w:val="24"/>
        </w:rPr>
        <w:t>Figure 2</w:t>
      </w:r>
    </w:p>
    <w:p w:rsidR="00EA705D" w:rsidRPr="00EA705D" w:rsidRDefault="00EA705D" w:rsidP="00363073">
      <w:pPr>
        <w:pStyle w:val="NoSpacing"/>
        <w:jc w:val="center"/>
        <w:rPr>
          <w:b/>
          <w:color w:val="0000FF"/>
          <w:sz w:val="24"/>
          <w:szCs w:val="24"/>
        </w:rPr>
      </w:pPr>
    </w:p>
    <w:p w:rsidR="00EA705D" w:rsidRPr="00EA705D" w:rsidRDefault="00EA705D" w:rsidP="00363073">
      <w:pPr>
        <w:pStyle w:val="NoSpacing"/>
        <w:jc w:val="center"/>
        <w:rPr>
          <w:b/>
          <w:color w:val="0000FF"/>
          <w:sz w:val="24"/>
          <w:szCs w:val="24"/>
        </w:rPr>
      </w:pPr>
    </w:p>
    <w:p w:rsidR="00EA705D" w:rsidRPr="00EA705D" w:rsidRDefault="001E7F23" w:rsidP="00EA705D">
      <w:pPr>
        <w:jc w:val="both"/>
        <w:rPr>
          <w:rFonts w:eastAsia="Times New Roman" w:cs="Tahoma"/>
          <w:color w:val="0000FF"/>
          <w:sz w:val="24"/>
          <w:szCs w:val="24"/>
        </w:rPr>
      </w:pPr>
      <w:r w:rsidRPr="00EA705D">
        <w:rPr>
          <w:color w:val="0000FF"/>
          <w:sz w:val="24"/>
          <w:szCs w:val="24"/>
        </w:rPr>
        <w:t xml:space="preserve">To eliminate the influence from this compound, a series of standard curves were applied. </w:t>
      </w:r>
      <w:r w:rsidR="00141E34" w:rsidRPr="00EA705D">
        <w:rPr>
          <w:color w:val="0000FF"/>
          <w:sz w:val="24"/>
          <w:szCs w:val="24"/>
        </w:rPr>
        <w:t>Figure</w:t>
      </w:r>
      <w:r w:rsidRPr="00EA705D">
        <w:rPr>
          <w:color w:val="0000FF"/>
          <w:sz w:val="24"/>
          <w:szCs w:val="24"/>
        </w:rPr>
        <w:t xml:space="preserve"> </w:t>
      </w:r>
      <w:r w:rsidR="00363073" w:rsidRPr="00EA705D">
        <w:rPr>
          <w:color w:val="0000FF"/>
          <w:sz w:val="24"/>
          <w:szCs w:val="24"/>
        </w:rPr>
        <w:t>3</w:t>
      </w:r>
      <w:r w:rsidR="00141E34" w:rsidRPr="00EA705D">
        <w:rPr>
          <w:color w:val="0000FF"/>
          <w:sz w:val="24"/>
          <w:szCs w:val="24"/>
        </w:rPr>
        <w:t xml:space="preserve"> shows that </w:t>
      </w:r>
      <w:r w:rsidRPr="00EA705D">
        <w:rPr>
          <w:color w:val="0000FF"/>
          <w:sz w:val="24"/>
          <w:szCs w:val="24"/>
        </w:rPr>
        <w:t xml:space="preserve">the slopes of standard curves in the presence of different concentration of DHP1c </w:t>
      </w:r>
      <w:r w:rsidR="00141E34" w:rsidRPr="00EA705D">
        <w:rPr>
          <w:color w:val="0000FF"/>
          <w:sz w:val="24"/>
          <w:szCs w:val="24"/>
        </w:rPr>
        <w:t>vary in a big range.</w:t>
      </w:r>
      <w:r w:rsidRPr="00EA705D">
        <w:rPr>
          <w:color w:val="0000FF"/>
          <w:sz w:val="24"/>
          <w:szCs w:val="24"/>
        </w:rPr>
        <w:t xml:space="preserve"> </w:t>
      </w:r>
      <w:r w:rsidR="00EA705D" w:rsidRPr="007235CD">
        <w:rPr>
          <w:rFonts w:eastAsia="Times New Roman" w:cs="Tahoma"/>
          <w:color w:val="0000FF"/>
          <w:sz w:val="24"/>
          <w:szCs w:val="24"/>
          <w:u w:val="single"/>
        </w:rPr>
        <w:t xml:space="preserve">At lower [DHP], the intrinsic fluorescence can be subtracted for a baseline and there is approximate linearity of the AFU with respect to [standard]. </w:t>
      </w:r>
    </w:p>
    <w:p w:rsidR="000E553D" w:rsidRPr="00EA705D" w:rsidRDefault="000E553D" w:rsidP="00DC5B7C">
      <w:pPr>
        <w:pStyle w:val="NoSpacing"/>
        <w:jc w:val="both"/>
        <w:rPr>
          <w:color w:val="0000FF"/>
          <w:sz w:val="24"/>
          <w:szCs w:val="24"/>
        </w:rPr>
      </w:pPr>
    </w:p>
    <w:p w:rsidR="00E10B05" w:rsidRPr="00EA705D" w:rsidRDefault="00141E34" w:rsidP="00141E34">
      <w:pPr>
        <w:pStyle w:val="NoSpacing"/>
        <w:jc w:val="center"/>
        <w:rPr>
          <w:sz w:val="24"/>
          <w:szCs w:val="24"/>
        </w:rPr>
      </w:pPr>
      <w:r w:rsidRPr="00EA705D">
        <w:rPr>
          <w:noProof/>
          <w:sz w:val="24"/>
          <w:szCs w:val="24"/>
        </w:rPr>
        <w:lastRenderedPageBreak/>
        <w:drawing>
          <wp:inline distT="0" distB="0" distL="0" distR="0" wp14:anchorId="6FC917E5" wp14:editId="10A697CB">
            <wp:extent cx="3724275" cy="2905125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41E34" w:rsidRPr="00EA705D" w:rsidRDefault="00363073" w:rsidP="00141E34">
      <w:pPr>
        <w:pStyle w:val="NoSpacing"/>
        <w:jc w:val="center"/>
        <w:rPr>
          <w:b/>
          <w:color w:val="0000FF"/>
          <w:sz w:val="24"/>
          <w:szCs w:val="24"/>
        </w:rPr>
      </w:pPr>
      <w:r w:rsidRPr="00EA705D">
        <w:rPr>
          <w:b/>
          <w:color w:val="0000FF"/>
          <w:sz w:val="24"/>
          <w:szCs w:val="24"/>
        </w:rPr>
        <w:t>Figure 3</w:t>
      </w:r>
    </w:p>
    <w:p w:rsidR="00EA705D" w:rsidRPr="00EA705D" w:rsidRDefault="00EA705D" w:rsidP="00141E34">
      <w:pPr>
        <w:pStyle w:val="NoSpacing"/>
        <w:jc w:val="center"/>
        <w:rPr>
          <w:b/>
          <w:color w:val="0000FF"/>
          <w:sz w:val="24"/>
          <w:szCs w:val="24"/>
        </w:rPr>
      </w:pPr>
    </w:p>
    <w:p w:rsidR="008C3A7F" w:rsidRPr="00EA705D" w:rsidRDefault="007D1D9E" w:rsidP="008C3A7F">
      <w:pPr>
        <w:jc w:val="both"/>
        <w:rPr>
          <w:rFonts w:eastAsia="Times New Roman" w:cs="Tahoma"/>
          <w:color w:val="000000"/>
          <w:sz w:val="24"/>
          <w:szCs w:val="24"/>
        </w:rPr>
      </w:pPr>
      <w:r w:rsidRPr="00EA705D">
        <w:rPr>
          <w:color w:val="0000FF"/>
          <w:sz w:val="24"/>
          <w:szCs w:val="24"/>
        </w:rPr>
        <w:t xml:space="preserve">Interestingly, no linearity is detected for standard curves in the presence of higher DHP1c concentration (Figure 4). </w:t>
      </w:r>
      <w:r w:rsidRPr="007235CD">
        <w:rPr>
          <w:color w:val="0000FF"/>
          <w:sz w:val="24"/>
          <w:szCs w:val="24"/>
          <w:u w:val="single"/>
        </w:rPr>
        <w:t>This indicated that</w:t>
      </w:r>
      <w:r w:rsidR="008C3A7F" w:rsidRPr="007235CD">
        <w:rPr>
          <w:color w:val="0000FF"/>
          <w:sz w:val="24"/>
          <w:szCs w:val="24"/>
          <w:u w:val="single"/>
        </w:rPr>
        <w:t xml:space="preserve"> </w:t>
      </w:r>
      <w:r w:rsidR="008C3A7F" w:rsidRPr="007235CD">
        <w:rPr>
          <w:rFonts w:eastAsia="Times New Roman" w:cs="Tahoma"/>
          <w:color w:val="0000FF"/>
          <w:sz w:val="24"/>
          <w:szCs w:val="24"/>
          <w:u w:val="single"/>
        </w:rPr>
        <w:t xml:space="preserve">at higher concentrations the intrinsic fluorescence may be prone to quenching through undetermined mechanisms, as evidenced by the example of </w:t>
      </w:r>
      <w:proofErr w:type="spellStart"/>
      <w:r w:rsidR="008C3A7F" w:rsidRPr="007235CD">
        <w:rPr>
          <w:rFonts w:eastAsia="Times New Roman" w:cs="Tahoma"/>
          <w:color w:val="0000FF"/>
          <w:sz w:val="24"/>
          <w:szCs w:val="24"/>
          <w:u w:val="single"/>
        </w:rPr>
        <w:t>FdL</w:t>
      </w:r>
      <w:proofErr w:type="spellEnd"/>
      <w:r w:rsidR="008C3A7F" w:rsidRPr="007235CD">
        <w:rPr>
          <w:rFonts w:eastAsia="Times New Roman" w:cs="Tahoma"/>
          <w:color w:val="0000FF"/>
          <w:sz w:val="24"/>
          <w:szCs w:val="24"/>
          <w:u w:val="single"/>
        </w:rPr>
        <w:t xml:space="preserve"> standard.</w:t>
      </w:r>
      <w:r w:rsidR="008C3A7F" w:rsidRPr="00EA705D">
        <w:rPr>
          <w:rFonts w:eastAsia="Times New Roman" w:cs="Tahoma"/>
          <w:color w:val="0000FF"/>
          <w:sz w:val="24"/>
          <w:szCs w:val="24"/>
        </w:rPr>
        <w:t> </w:t>
      </w:r>
    </w:p>
    <w:p w:rsidR="007D1D9E" w:rsidRPr="00EA705D" w:rsidRDefault="007D1D9E" w:rsidP="007D1D9E">
      <w:pPr>
        <w:pStyle w:val="NoSpacing"/>
        <w:jc w:val="center"/>
        <w:rPr>
          <w:color w:val="0000FF"/>
          <w:sz w:val="24"/>
          <w:szCs w:val="24"/>
        </w:rPr>
      </w:pPr>
      <w:r w:rsidRPr="00EA705D">
        <w:rPr>
          <w:noProof/>
          <w:sz w:val="24"/>
          <w:szCs w:val="24"/>
        </w:rPr>
        <w:drawing>
          <wp:inline distT="0" distB="0" distL="0" distR="0" wp14:anchorId="6219F3ED" wp14:editId="18AFB93F">
            <wp:extent cx="3897718" cy="3162300"/>
            <wp:effectExtent l="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97718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D9E" w:rsidRPr="00EA705D" w:rsidRDefault="007D1D9E" w:rsidP="007D1D9E">
      <w:pPr>
        <w:pStyle w:val="NoSpacing"/>
        <w:jc w:val="center"/>
        <w:rPr>
          <w:b/>
          <w:color w:val="0000FF"/>
          <w:sz w:val="24"/>
          <w:szCs w:val="24"/>
        </w:rPr>
      </w:pPr>
      <w:r w:rsidRPr="00EA705D">
        <w:rPr>
          <w:b/>
          <w:color w:val="0000FF"/>
          <w:sz w:val="24"/>
          <w:szCs w:val="24"/>
        </w:rPr>
        <w:t>Figure 4</w:t>
      </w:r>
    </w:p>
    <w:p w:rsidR="00B976E7" w:rsidRDefault="00B976E7" w:rsidP="00DC5B7C">
      <w:pPr>
        <w:pStyle w:val="NoSpacing"/>
        <w:jc w:val="both"/>
        <w:rPr>
          <w:b/>
          <w:color w:val="0000FF"/>
          <w:sz w:val="24"/>
          <w:szCs w:val="24"/>
        </w:rPr>
      </w:pPr>
    </w:p>
    <w:p w:rsidR="00BF6745" w:rsidRPr="00EA705D" w:rsidRDefault="00B976E7" w:rsidP="00DC5B7C">
      <w:pPr>
        <w:pStyle w:val="NoSpacing"/>
        <w:jc w:val="both"/>
        <w:rPr>
          <w:color w:val="0000FF"/>
          <w:sz w:val="24"/>
          <w:szCs w:val="24"/>
        </w:rPr>
      </w:pPr>
      <w:r w:rsidRPr="00B976E7">
        <w:rPr>
          <w:color w:val="0000FF"/>
          <w:sz w:val="24"/>
          <w:szCs w:val="24"/>
        </w:rPr>
        <w:t xml:space="preserve">In </w:t>
      </w:r>
      <w:r w:rsidR="003C4860" w:rsidRPr="00B976E7">
        <w:rPr>
          <w:color w:val="0000FF"/>
          <w:sz w:val="24"/>
          <w:szCs w:val="24"/>
        </w:rPr>
        <w:t>the past decade, the discovery of SIRT1 activators with antiaging activities in yeast,</w:t>
      </w:r>
      <w:r w:rsidR="003C4860" w:rsidRPr="00EA705D">
        <w:rPr>
          <w:color w:val="0000FF"/>
          <w:sz w:val="24"/>
          <w:szCs w:val="24"/>
        </w:rPr>
        <w:t xml:space="preserve"> mammalian cells, worms and flies have greatly motivated the researches to find both inhibitors </w:t>
      </w:r>
      <w:r w:rsidR="003C4860" w:rsidRPr="00EA705D">
        <w:rPr>
          <w:color w:val="0000FF"/>
          <w:sz w:val="24"/>
          <w:szCs w:val="24"/>
        </w:rPr>
        <w:lastRenderedPageBreak/>
        <w:t xml:space="preserve">and activators of </w:t>
      </w:r>
      <w:bookmarkStart w:id="0" w:name="_GoBack"/>
      <w:bookmarkEnd w:id="0"/>
      <w:r w:rsidR="003C4860" w:rsidRPr="00EA705D">
        <w:rPr>
          <w:color w:val="0000FF"/>
          <w:sz w:val="24"/>
          <w:szCs w:val="24"/>
        </w:rPr>
        <w:t>SIRTs. The use of biochemical SIRT assa</w:t>
      </w:r>
      <w:r w:rsidR="00BF6745" w:rsidRPr="00EA705D">
        <w:rPr>
          <w:color w:val="0000FF"/>
          <w:sz w:val="24"/>
          <w:szCs w:val="24"/>
        </w:rPr>
        <w:t xml:space="preserve">ys has become quite widespread for drug discovery. </w:t>
      </w:r>
    </w:p>
    <w:p w:rsidR="00BF6745" w:rsidRPr="00EA705D" w:rsidRDefault="00BF6745" w:rsidP="00ED2382">
      <w:pPr>
        <w:pStyle w:val="NoSpacing"/>
        <w:rPr>
          <w:color w:val="0000FF"/>
          <w:sz w:val="24"/>
          <w:szCs w:val="24"/>
        </w:rPr>
      </w:pPr>
    </w:p>
    <w:p w:rsidR="005E1762" w:rsidRPr="00EA705D" w:rsidRDefault="00BF6745" w:rsidP="00DC5B7C">
      <w:pPr>
        <w:pStyle w:val="NoSpacing"/>
        <w:jc w:val="both"/>
        <w:rPr>
          <w:color w:val="0000FF"/>
          <w:sz w:val="24"/>
          <w:szCs w:val="24"/>
        </w:rPr>
      </w:pPr>
      <w:r w:rsidRPr="00EA705D">
        <w:rPr>
          <w:color w:val="0000FF"/>
          <w:sz w:val="24"/>
          <w:szCs w:val="24"/>
        </w:rPr>
        <w:t xml:space="preserve">In general, </w:t>
      </w:r>
      <w:r w:rsidRPr="00EA705D">
        <w:rPr>
          <w:color w:val="0000FF"/>
          <w:sz w:val="24"/>
          <w:szCs w:val="24"/>
        </w:rPr>
        <w:t>SIRTs activity assay develop</w:t>
      </w:r>
      <w:r w:rsidRPr="00EA705D">
        <w:rPr>
          <w:color w:val="0000FF"/>
          <w:sz w:val="24"/>
          <w:szCs w:val="24"/>
        </w:rPr>
        <w:t xml:space="preserve">ment must be based on measuring the rates of one of three things: (1) appearance of free acetate, (2) disappearance of the acetylated substrate or (3) appearance of the </w:t>
      </w:r>
      <w:proofErr w:type="spellStart"/>
      <w:r w:rsidRPr="00EA705D">
        <w:rPr>
          <w:color w:val="0000FF"/>
          <w:sz w:val="24"/>
          <w:szCs w:val="24"/>
        </w:rPr>
        <w:t>deacetylated</w:t>
      </w:r>
      <w:proofErr w:type="spellEnd"/>
      <w:r w:rsidRPr="00EA705D">
        <w:rPr>
          <w:color w:val="0000FF"/>
          <w:sz w:val="24"/>
          <w:szCs w:val="24"/>
        </w:rPr>
        <w:t xml:space="preserve"> product. The traditional approaches used in </w:t>
      </w:r>
      <w:r w:rsidRPr="00EA705D">
        <w:rPr>
          <w:color w:val="0000FF"/>
          <w:sz w:val="24"/>
          <w:szCs w:val="24"/>
        </w:rPr>
        <w:t xml:space="preserve">SIRTs </w:t>
      </w:r>
      <w:r w:rsidRPr="00EA705D">
        <w:rPr>
          <w:color w:val="0000FF"/>
          <w:sz w:val="24"/>
          <w:szCs w:val="24"/>
        </w:rPr>
        <w:t>assays, such as MS, radioisotope detection and anti-acetylation antibodies are used, but particularly for compound screening and profiling applications, peptide-based fluoresce</w:t>
      </w:r>
      <w:r w:rsidR="005E1762" w:rsidRPr="00EA705D">
        <w:rPr>
          <w:color w:val="0000FF"/>
          <w:sz w:val="24"/>
          <w:szCs w:val="24"/>
        </w:rPr>
        <w:t>nce assays are far more popular. Among them, Fluor de Lys assay has been one of the most wildly used fluorescent assay systems</w:t>
      </w:r>
      <w:r w:rsidR="00BF5DAB">
        <w:rPr>
          <w:color w:val="0000FF"/>
          <w:sz w:val="24"/>
          <w:szCs w:val="24"/>
        </w:rPr>
        <w:t xml:space="preserve"> </w:t>
      </w:r>
      <w:r w:rsidR="00A24377">
        <w:rPr>
          <w:color w:val="0000FF"/>
          <w:sz w:val="24"/>
          <w:szCs w:val="24"/>
        </w:rPr>
        <w:fldChar w:fldCharType="begin">
          <w:fldData xml:space="preserve">PEVuZE5vdGU+PENpdGU+PEF1dGhvcj5BdmFsb3M8L0F1dGhvcj48WWVhcj4yMDA1PC9ZZWFyPjxS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</w:fldData>
        </w:fldChar>
      </w:r>
      <w:r w:rsidR="00A868F6">
        <w:rPr>
          <w:color w:val="0000FF"/>
          <w:sz w:val="24"/>
          <w:szCs w:val="24"/>
        </w:rPr>
        <w:instrText xml:space="preserve"> ADDIN EN.CITE </w:instrText>
      </w:r>
      <w:r w:rsidR="00A868F6">
        <w:rPr>
          <w:color w:val="0000FF"/>
          <w:sz w:val="24"/>
          <w:szCs w:val="24"/>
        </w:rPr>
        <w:fldChar w:fldCharType="begin">
          <w:fldData xml:space="preserve">PEVuZE5vdGU+PENpdGU+PEF1dGhvcj5BdmFsb3M8L0F1dGhvcj48WWVhcj4yMDA1PC9ZZWFyPjxS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</w:fldData>
        </w:fldChar>
      </w:r>
      <w:r w:rsidR="00A868F6">
        <w:rPr>
          <w:color w:val="0000FF"/>
          <w:sz w:val="24"/>
          <w:szCs w:val="24"/>
        </w:rPr>
        <w:instrText xml:space="preserve"> ADDIN EN.CITE.DATA </w:instrText>
      </w:r>
      <w:r w:rsidR="00A868F6">
        <w:rPr>
          <w:color w:val="0000FF"/>
          <w:sz w:val="24"/>
          <w:szCs w:val="24"/>
        </w:rPr>
      </w:r>
      <w:r w:rsidR="00A868F6">
        <w:rPr>
          <w:color w:val="0000FF"/>
          <w:sz w:val="24"/>
          <w:szCs w:val="24"/>
        </w:rPr>
        <w:fldChar w:fldCharType="end"/>
      </w:r>
      <w:r w:rsidR="00A24377">
        <w:rPr>
          <w:color w:val="0000FF"/>
          <w:sz w:val="24"/>
          <w:szCs w:val="24"/>
        </w:rPr>
        <w:fldChar w:fldCharType="separate"/>
      </w:r>
      <w:r w:rsidR="00A868F6">
        <w:rPr>
          <w:noProof/>
          <w:color w:val="0000FF"/>
          <w:sz w:val="24"/>
          <w:szCs w:val="24"/>
        </w:rPr>
        <w:t>(1-5)</w:t>
      </w:r>
      <w:r w:rsidR="00A24377">
        <w:rPr>
          <w:color w:val="0000FF"/>
          <w:sz w:val="24"/>
          <w:szCs w:val="24"/>
        </w:rPr>
        <w:fldChar w:fldCharType="end"/>
      </w:r>
      <w:r w:rsidR="00A24377">
        <w:rPr>
          <w:color w:val="0000FF"/>
          <w:sz w:val="24"/>
          <w:szCs w:val="24"/>
        </w:rPr>
        <w:t>.</w:t>
      </w:r>
      <w:r w:rsidR="00CA32B1" w:rsidRPr="00EA705D">
        <w:rPr>
          <w:color w:val="0000FF"/>
          <w:sz w:val="24"/>
          <w:szCs w:val="24"/>
        </w:rPr>
        <w:t xml:space="preserve"> </w:t>
      </w:r>
    </w:p>
    <w:p w:rsidR="00CA32B1" w:rsidRDefault="00CA32B1" w:rsidP="00ED2382">
      <w:pPr>
        <w:pStyle w:val="NoSpacing"/>
        <w:rPr>
          <w:color w:val="0000FF"/>
          <w:sz w:val="24"/>
          <w:szCs w:val="24"/>
        </w:rPr>
      </w:pPr>
    </w:p>
    <w:p w:rsidR="003E0165" w:rsidRDefault="003E0165" w:rsidP="00ED2382">
      <w:pPr>
        <w:pStyle w:val="NoSpacing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 xml:space="preserve">Fluor de Lys is based on the unique Fluor de Lys substrate/developer combination with 2-step system. The Fluor de Lys substrate is incubated with human recombinant SIRT3 together </w:t>
      </w:r>
      <w:proofErr w:type="spellStart"/>
      <w:r>
        <w:rPr>
          <w:color w:val="0000FF"/>
          <w:sz w:val="24"/>
          <w:szCs w:val="24"/>
        </w:rPr>
        <w:t>eith</w:t>
      </w:r>
      <w:proofErr w:type="spellEnd"/>
      <w:r>
        <w:rPr>
          <w:color w:val="0000FF"/>
          <w:sz w:val="24"/>
          <w:szCs w:val="24"/>
        </w:rPr>
        <w:t xml:space="preserve"> the </w:t>
      </w:r>
      <w:proofErr w:type="spellStart"/>
      <w:r>
        <w:rPr>
          <w:color w:val="0000FF"/>
          <w:sz w:val="24"/>
          <w:szCs w:val="24"/>
        </w:rPr>
        <w:t>cosubstrate</w:t>
      </w:r>
      <w:proofErr w:type="spellEnd"/>
      <w:r>
        <w:rPr>
          <w:color w:val="0000FF"/>
          <w:sz w:val="24"/>
          <w:szCs w:val="24"/>
        </w:rPr>
        <w:t xml:space="preserve"> NAD+ first. In the second step, </w:t>
      </w:r>
      <w:proofErr w:type="spellStart"/>
      <w:r>
        <w:rPr>
          <w:color w:val="0000FF"/>
          <w:sz w:val="24"/>
          <w:szCs w:val="24"/>
        </w:rPr>
        <w:t>deacetylated</w:t>
      </w:r>
      <w:proofErr w:type="spellEnd"/>
      <w:r>
        <w:rPr>
          <w:color w:val="0000FF"/>
          <w:sz w:val="24"/>
          <w:szCs w:val="24"/>
        </w:rPr>
        <w:t xml:space="preserve"> peptide was treated with developer to produce a fluorophore.  </w:t>
      </w:r>
    </w:p>
    <w:p w:rsidR="003E0165" w:rsidRPr="00EA705D" w:rsidRDefault="003E0165" w:rsidP="00ED2382">
      <w:pPr>
        <w:pStyle w:val="NoSpacing"/>
        <w:rPr>
          <w:color w:val="0000FF"/>
          <w:sz w:val="24"/>
          <w:szCs w:val="24"/>
        </w:rPr>
      </w:pPr>
    </w:p>
    <w:p w:rsidR="00DC5B7C" w:rsidRPr="00EA705D" w:rsidRDefault="00CA32B1" w:rsidP="00DC5B7C">
      <w:pPr>
        <w:pStyle w:val="NoSpacing"/>
        <w:jc w:val="both"/>
        <w:rPr>
          <w:color w:val="0000FF"/>
          <w:sz w:val="24"/>
          <w:szCs w:val="24"/>
        </w:rPr>
      </w:pPr>
      <w:proofErr w:type="spellStart"/>
      <w:r w:rsidRPr="00EA705D">
        <w:rPr>
          <w:color w:val="0000FF"/>
          <w:sz w:val="24"/>
          <w:szCs w:val="24"/>
        </w:rPr>
        <w:t>SIRTainty</w:t>
      </w:r>
      <w:proofErr w:type="spellEnd"/>
      <w:r w:rsidRPr="00EA705D">
        <w:rPr>
          <w:color w:val="0000FF"/>
          <w:sz w:val="24"/>
          <w:szCs w:val="24"/>
        </w:rPr>
        <w:t xml:space="preserve"> is another </w:t>
      </w:r>
      <w:r w:rsidR="00DC5B7C" w:rsidRPr="00EA705D">
        <w:rPr>
          <w:color w:val="0000FF"/>
          <w:sz w:val="24"/>
          <w:szCs w:val="24"/>
        </w:rPr>
        <w:t>assay used for SIRTs modulator screening</w:t>
      </w:r>
      <w:r w:rsidR="003A29A6">
        <w:rPr>
          <w:color w:val="0000FF"/>
          <w:sz w:val="24"/>
          <w:szCs w:val="24"/>
        </w:rPr>
        <w:fldChar w:fldCharType="begin"/>
      </w:r>
      <w:r w:rsidR="003A29A6">
        <w:rPr>
          <w:color w:val="0000FF"/>
          <w:sz w:val="24"/>
          <w:szCs w:val="24"/>
        </w:rPr>
        <w:instrText xml:space="preserve"> ADDIN EN.CITE &lt;EndNote&gt;&lt;Cite&gt;&lt;Author&gt;Valente&lt;/Author&gt;&lt;Year&gt;2015&lt;/Year&gt;&lt;RecNum&gt;301&lt;/RecNum&gt;&lt;DisplayText&gt;(6)&lt;/DisplayText&gt;&lt;record&gt;&lt;rec-number&gt;301&lt;/rec-number&gt;&lt;foreign-keys&gt;&lt;key app="EN" db-id="wa5faswfvf9xvyexdp9vdezjrxeer5txtspz" timestamp="1455907196"&gt;301&lt;/key&gt;&lt;/foreign-keys&gt;&lt;ref-type name="Journal Article"&gt;17&lt;/ref-type&gt;&lt;contributors&gt;&lt;authors&gt;&lt;author&gt;Valente, Sergio; Mellini, Palol; Spallotta, Francesco&lt;/author&gt;&lt;/authors&gt;&lt;/contributors&gt;&lt;titles&gt;&lt;title&gt;1,4-Dihydropyridines Active on the SIRT1/AMPK Pathway Ameliorate Skin Repair and Mitochondrial Function and Exhibit Inhibition of Proliferation in Cancer Cells&lt;/title&gt;&lt;secondary-title&gt;Journal of Medicinal Chemistry&lt;/secondary-title&gt;&lt;/titles&gt;&lt;periodical&gt;&lt;full-title&gt;Journal of Medicinal Chemistry&lt;/full-title&gt;&lt;/periodical&gt;&lt;dates&gt;&lt;year&gt;2015&lt;/year&gt;&lt;pub-dates&gt;&lt;date&gt;Dec. 21, 2015&lt;/date&gt;&lt;/pub-dates&gt;&lt;/dates&gt;&lt;urls&gt;&lt;/urls&gt;&lt;/record&gt;&lt;/Cite&gt;&lt;/EndNote&gt;</w:instrText>
      </w:r>
      <w:r w:rsidR="003A29A6">
        <w:rPr>
          <w:color w:val="0000FF"/>
          <w:sz w:val="24"/>
          <w:szCs w:val="24"/>
        </w:rPr>
        <w:fldChar w:fldCharType="separate"/>
      </w:r>
      <w:r w:rsidR="003A29A6">
        <w:rPr>
          <w:noProof/>
          <w:color w:val="0000FF"/>
          <w:sz w:val="24"/>
          <w:szCs w:val="24"/>
        </w:rPr>
        <w:t>(6)</w:t>
      </w:r>
      <w:r w:rsidR="003A29A6">
        <w:rPr>
          <w:color w:val="0000FF"/>
          <w:sz w:val="24"/>
          <w:szCs w:val="24"/>
        </w:rPr>
        <w:fldChar w:fldCharType="end"/>
      </w:r>
      <w:r w:rsidR="00DC5B7C" w:rsidRPr="00EA705D">
        <w:rPr>
          <w:color w:val="0000FF"/>
          <w:sz w:val="24"/>
          <w:szCs w:val="24"/>
        </w:rPr>
        <w:t xml:space="preserve">. </w:t>
      </w:r>
      <w:proofErr w:type="spellStart"/>
      <w:r w:rsidR="00DC5B7C" w:rsidRPr="00EA705D">
        <w:rPr>
          <w:color w:val="0000FF"/>
          <w:sz w:val="24"/>
          <w:szCs w:val="24"/>
        </w:rPr>
        <w:t>SIRTainty</w:t>
      </w:r>
      <w:proofErr w:type="spellEnd"/>
      <w:r w:rsidR="00DC5B7C" w:rsidRPr="00EA705D">
        <w:rPr>
          <w:color w:val="0000FF"/>
          <w:sz w:val="24"/>
          <w:szCs w:val="24"/>
        </w:rPr>
        <w:t xml:space="preserve"> assay is a 3-step reaction system. First</w:t>
      </w:r>
      <w:r w:rsidR="00DC5B7C" w:rsidRPr="00EA705D">
        <w:rPr>
          <w:color w:val="0000FF"/>
          <w:sz w:val="24"/>
          <w:szCs w:val="24"/>
        </w:rPr>
        <w:t xml:space="preserve"> the acetylated peptide substrate is acted upon by the </w:t>
      </w:r>
      <w:proofErr w:type="spellStart"/>
      <w:r w:rsidR="00DC5B7C" w:rsidRPr="00EA705D">
        <w:rPr>
          <w:color w:val="0000FF"/>
          <w:sz w:val="24"/>
          <w:szCs w:val="24"/>
        </w:rPr>
        <w:t>sirtuin</w:t>
      </w:r>
      <w:proofErr w:type="spellEnd"/>
      <w:r w:rsidR="00DC5B7C" w:rsidRPr="00EA705D">
        <w:rPr>
          <w:color w:val="0000FF"/>
          <w:sz w:val="24"/>
          <w:szCs w:val="24"/>
        </w:rPr>
        <w:t xml:space="preserve"> enzyme to produce NAM. In a secondary reaction, the </w:t>
      </w:r>
      <w:proofErr w:type="spellStart"/>
      <w:r w:rsidR="00DC5B7C" w:rsidRPr="00EA705D">
        <w:rPr>
          <w:color w:val="0000FF"/>
          <w:sz w:val="24"/>
          <w:szCs w:val="24"/>
        </w:rPr>
        <w:t>nicotinamidase</w:t>
      </w:r>
      <w:proofErr w:type="spellEnd"/>
      <w:r w:rsidR="00DC5B7C" w:rsidRPr="00EA705D">
        <w:rPr>
          <w:color w:val="0000FF"/>
          <w:sz w:val="24"/>
          <w:szCs w:val="24"/>
        </w:rPr>
        <w:t xml:space="preserve"> enzyme converts the nicotinamide into nicotinic acid and NH</w:t>
      </w:r>
      <w:r w:rsidR="00DC5B7C" w:rsidRPr="009B2D45">
        <w:rPr>
          <w:color w:val="0000FF"/>
          <w:sz w:val="24"/>
          <w:szCs w:val="24"/>
          <w:vertAlign w:val="superscript"/>
        </w:rPr>
        <w:t>3+</w:t>
      </w:r>
      <w:r w:rsidR="00DC5B7C" w:rsidRPr="00EA705D">
        <w:rPr>
          <w:color w:val="0000FF"/>
          <w:sz w:val="24"/>
          <w:szCs w:val="24"/>
        </w:rPr>
        <w:t xml:space="preserve"> (free ammonia). To generate a signal for readout, a proprietary developer reagent is added and the signal is read using a fluorescent plate reader.</w:t>
      </w:r>
    </w:p>
    <w:p w:rsidR="00CA32B1" w:rsidRDefault="00CA32B1" w:rsidP="00ED2382">
      <w:pPr>
        <w:pStyle w:val="NoSpacing"/>
        <w:rPr>
          <w:color w:val="0000FF"/>
          <w:sz w:val="24"/>
          <w:szCs w:val="24"/>
        </w:rPr>
      </w:pPr>
    </w:p>
    <w:p w:rsidR="006508E2" w:rsidRDefault="007235CD" w:rsidP="007235CD">
      <w:pPr>
        <w:pStyle w:val="NoSpacing"/>
        <w:rPr>
          <w:color w:val="0000FF"/>
          <w:sz w:val="24"/>
        </w:rPr>
      </w:pPr>
      <w:r w:rsidRPr="007235CD">
        <w:rPr>
          <w:color w:val="0000FF"/>
          <w:sz w:val="24"/>
        </w:rPr>
        <w:t xml:space="preserve">For both Fluor de Lys assay and </w:t>
      </w:r>
      <w:proofErr w:type="spellStart"/>
      <w:r w:rsidRPr="007235CD">
        <w:rPr>
          <w:color w:val="0000FF"/>
          <w:sz w:val="24"/>
        </w:rPr>
        <w:t>SIRTainty</w:t>
      </w:r>
      <w:proofErr w:type="spellEnd"/>
      <w:r w:rsidRPr="007235CD">
        <w:rPr>
          <w:color w:val="0000FF"/>
          <w:sz w:val="24"/>
        </w:rPr>
        <w:t xml:space="preserve"> assay</w:t>
      </w:r>
      <w:r w:rsidR="00A75014">
        <w:rPr>
          <w:color w:val="0000FF"/>
          <w:sz w:val="24"/>
        </w:rPr>
        <w:t xml:space="preserve">, </w:t>
      </w:r>
      <w:r w:rsidR="006508E2">
        <w:rPr>
          <w:color w:val="0000FF"/>
          <w:sz w:val="24"/>
        </w:rPr>
        <w:t xml:space="preserve">there are some similarities. </w:t>
      </w:r>
    </w:p>
    <w:p w:rsidR="003E0165" w:rsidRPr="003E0165" w:rsidRDefault="003E0165" w:rsidP="006508E2">
      <w:pPr>
        <w:pStyle w:val="NoSpacing"/>
        <w:numPr>
          <w:ilvl w:val="0"/>
          <w:numId w:val="3"/>
        </w:numPr>
        <w:rPr>
          <w:color w:val="0000FF"/>
          <w:sz w:val="24"/>
        </w:rPr>
      </w:pPr>
      <w:r>
        <w:rPr>
          <w:color w:val="0000FF"/>
          <w:sz w:val="24"/>
        </w:rPr>
        <w:t>They are applicable for high through put drug discovery.</w:t>
      </w:r>
    </w:p>
    <w:p w:rsidR="006508E2" w:rsidRDefault="006508E2" w:rsidP="006508E2">
      <w:pPr>
        <w:pStyle w:val="NoSpacing"/>
        <w:numPr>
          <w:ilvl w:val="0"/>
          <w:numId w:val="3"/>
        </w:numPr>
        <w:rPr>
          <w:color w:val="0000FF"/>
          <w:sz w:val="24"/>
        </w:rPr>
      </w:pPr>
      <w:r w:rsidRPr="009B2D45">
        <w:rPr>
          <w:color w:val="0000FF"/>
          <w:sz w:val="24"/>
          <w:u w:val="single"/>
        </w:rPr>
        <w:t xml:space="preserve">They all have fluorescence readout. </w:t>
      </w:r>
      <w:r w:rsidR="00CC2CAC" w:rsidRPr="009B2D45">
        <w:rPr>
          <w:color w:val="0000FF"/>
          <w:sz w:val="24"/>
          <w:u w:val="single"/>
        </w:rPr>
        <w:t>The emission wavelength appears similar.</w:t>
      </w:r>
      <w:r w:rsidR="00CC2CAC">
        <w:rPr>
          <w:color w:val="0000FF"/>
          <w:sz w:val="24"/>
        </w:rPr>
        <w:t xml:space="preserve"> </w:t>
      </w:r>
      <w:r>
        <w:rPr>
          <w:color w:val="0000FF"/>
          <w:sz w:val="24"/>
        </w:rPr>
        <w:t xml:space="preserve">Fluor de Lys assay use fluorophore labeled peptide and </w:t>
      </w:r>
      <w:proofErr w:type="spellStart"/>
      <w:r>
        <w:rPr>
          <w:color w:val="0000FF"/>
          <w:sz w:val="24"/>
        </w:rPr>
        <w:t>SIRTainty</w:t>
      </w:r>
      <w:proofErr w:type="spellEnd"/>
      <w:r>
        <w:rPr>
          <w:color w:val="0000FF"/>
          <w:sz w:val="24"/>
        </w:rPr>
        <w:t xml:space="preserve"> use non-labeled peptide substrate.</w:t>
      </w:r>
    </w:p>
    <w:p w:rsidR="003E0165" w:rsidRPr="003E0165" w:rsidRDefault="006508E2" w:rsidP="003E0165">
      <w:pPr>
        <w:pStyle w:val="NoSpacing"/>
        <w:numPr>
          <w:ilvl w:val="0"/>
          <w:numId w:val="3"/>
        </w:numPr>
        <w:rPr>
          <w:color w:val="0000FF"/>
          <w:sz w:val="24"/>
        </w:rPr>
      </w:pPr>
      <w:r>
        <w:rPr>
          <w:color w:val="0000FF"/>
          <w:sz w:val="24"/>
        </w:rPr>
        <w:t xml:space="preserve">They all need developer reagent to quench the reaction and release the fluorescence </w:t>
      </w:r>
      <w:r w:rsidR="00CC2CAC">
        <w:rPr>
          <w:color w:val="0000FF"/>
          <w:sz w:val="24"/>
        </w:rPr>
        <w:t>signal</w:t>
      </w:r>
      <w:r>
        <w:rPr>
          <w:color w:val="0000FF"/>
          <w:sz w:val="24"/>
        </w:rPr>
        <w:t>.</w:t>
      </w:r>
    </w:p>
    <w:p w:rsidR="006508E2" w:rsidRPr="009B2D45" w:rsidRDefault="00CC2CAC" w:rsidP="009B2D45">
      <w:pPr>
        <w:pStyle w:val="NoSpacing"/>
        <w:numPr>
          <w:ilvl w:val="0"/>
          <w:numId w:val="3"/>
        </w:numPr>
        <w:rPr>
          <w:color w:val="0000FF"/>
          <w:sz w:val="24"/>
          <w:u w:val="single"/>
        </w:rPr>
      </w:pPr>
      <w:r w:rsidRPr="009B2D45">
        <w:rPr>
          <w:rFonts w:eastAsia="Times New Roman" w:cs="Tahoma"/>
          <w:color w:val="0000FF"/>
          <w:sz w:val="24"/>
          <w:szCs w:val="24"/>
          <w:u w:val="single"/>
        </w:rPr>
        <w:t>For molecule with t</w:t>
      </w:r>
      <w:r w:rsidR="006508E2" w:rsidRPr="009B2D45">
        <w:rPr>
          <w:rFonts w:eastAsia="Times New Roman" w:cs="Tahoma"/>
          <w:color w:val="0000FF"/>
          <w:sz w:val="24"/>
          <w:szCs w:val="24"/>
          <w:u w:val="single"/>
        </w:rPr>
        <w:t xml:space="preserve">he intrinsic fluorescence </w:t>
      </w:r>
      <w:r w:rsidRPr="009B2D45">
        <w:rPr>
          <w:rFonts w:eastAsia="Times New Roman" w:cs="Tahoma"/>
          <w:color w:val="0000FF"/>
          <w:sz w:val="24"/>
          <w:szCs w:val="24"/>
          <w:u w:val="single"/>
        </w:rPr>
        <w:t>like</w:t>
      </w:r>
      <w:r w:rsidR="006508E2" w:rsidRPr="009B2D45">
        <w:rPr>
          <w:rFonts w:eastAsia="Times New Roman" w:cs="Tahoma"/>
          <w:color w:val="0000FF"/>
          <w:sz w:val="24"/>
          <w:szCs w:val="24"/>
          <w:u w:val="single"/>
        </w:rPr>
        <w:t xml:space="preserve"> </w:t>
      </w:r>
      <w:r w:rsidRPr="009B2D45">
        <w:rPr>
          <w:rFonts w:eastAsia="Times New Roman" w:cs="Tahoma"/>
          <w:color w:val="0000FF"/>
          <w:sz w:val="24"/>
          <w:szCs w:val="24"/>
          <w:u w:val="single"/>
        </w:rPr>
        <w:t>DHP</w:t>
      </w:r>
      <w:r w:rsidR="006508E2" w:rsidRPr="009B2D45">
        <w:rPr>
          <w:rFonts w:eastAsia="Times New Roman" w:cs="Tahoma"/>
          <w:color w:val="0000FF"/>
          <w:sz w:val="24"/>
          <w:szCs w:val="24"/>
          <w:u w:val="single"/>
        </w:rPr>
        <w:t>s</w:t>
      </w:r>
      <w:r w:rsidRPr="009B2D45">
        <w:rPr>
          <w:rFonts w:eastAsia="Times New Roman" w:cs="Tahoma"/>
          <w:color w:val="0000FF"/>
          <w:sz w:val="24"/>
          <w:szCs w:val="24"/>
          <w:u w:val="single"/>
        </w:rPr>
        <w:t>,</w:t>
      </w:r>
      <w:r w:rsidR="009B2D45" w:rsidRPr="009B2D45">
        <w:rPr>
          <w:rFonts w:eastAsia="Times New Roman" w:cs="Tahoma"/>
          <w:color w:val="0000FF"/>
          <w:sz w:val="24"/>
          <w:szCs w:val="24"/>
          <w:u w:val="single"/>
        </w:rPr>
        <w:t xml:space="preserve"> </w:t>
      </w:r>
      <w:r w:rsidRPr="009B2D45">
        <w:rPr>
          <w:rFonts w:eastAsia="Times New Roman" w:cs="Tahoma"/>
          <w:color w:val="0000FF"/>
          <w:sz w:val="24"/>
          <w:szCs w:val="24"/>
          <w:u w:val="single"/>
        </w:rPr>
        <w:t xml:space="preserve"> </w:t>
      </w:r>
      <w:r w:rsidR="006508E2" w:rsidRPr="009B2D45">
        <w:rPr>
          <w:rFonts w:eastAsia="Times New Roman" w:cs="Tahoma"/>
          <w:color w:val="0000FF"/>
          <w:sz w:val="24"/>
          <w:szCs w:val="24"/>
          <w:u w:val="single"/>
        </w:rPr>
        <w:t xml:space="preserve"> </w:t>
      </w:r>
      <w:r w:rsidR="009B2D45" w:rsidRPr="009B2D45">
        <w:rPr>
          <w:rFonts w:eastAsia="Times New Roman" w:cs="Tahoma"/>
          <w:color w:val="0000FF"/>
          <w:sz w:val="24"/>
          <w:szCs w:val="24"/>
          <w:u w:val="single"/>
        </w:rPr>
        <w:t xml:space="preserve">there </w:t>
      </w:r>
      <w:r w:rsidR="006508E2" w:rsidRPr="009B2D45">
        <w:rPr>
          <w:rFonts w:eastAsia="Times New Roman" w:cs="Tahoma"/>
          <w:color w:val="0000FF"/>
          <w:sz w:val="24"/>
          <w:szCs w:val="24"/>
          <w:u w:val="single"/>
        </w:rPr>
        <w:t>was significant background fluorescence</w:t>
      </w:r>
      <w:r w:rsidR="009B2D45" w:rsidRPr="009B2D45">
        <w:rPr>
          <w:rFonts w:eastAsia="Times New Roman" w:cs="Tahoma"/>
          <w:color w:val="0000FF"/>
          <w:sz w:val="24"/>
          <w:szCs w:val="24"/>
          <w:u w:val="single"/>
        </w:rPr>
        <w:t xml:space="preserve"> in both assays.</w:t>
      </w:r>
    </w:p>
    <w:p w:rsidR="006508E2" w:rsidRDefault="006508E2" w:rsidP="009B2D45">
      <w:pPr>
        <w:pStyle w:val="NoSpacing"/>
        <w:ind w:left="720"/>
        <w:rPr>
          <w:color w:val="0000FF"/>
          <w:sz w:val="24"/>
        </w:rPr>
      </w:pPr>
    </w:p>
    <w:p w:rsidR="007235CD" w:rsidRPr="007235CD" w:rsidRDefault="009B2D45" w:rsidP="007235CD">
      <w:pPr>
        <w:pStyle w:val="NoSpacing"/>
        <w:rPr>
          <w:rFonts w:eastAsia="Times New Roman" w:cs="Tahoma"/>
          <w:color w:val="0000FF"/>
          <w:sz w:val="24"/>
        </w:rPr>
      </w:pPr>
      <w:r>
        <w:rPr>
          <w:rFonts w:eastAsia="Times New Roman" w:cs="Tahoma"/>
          <w:color w:val="0000FF"/>
          <w:sz w:val="24"/>
        </w:rPr>
        <w:t xml:space="preserve">In brief, </w:t>
      </w:r>
      <w:proofErr w:type="spellStart"/>
      <w:r>
        <w:rPr>
          <w:rFonts w:eastAsia="Times New Roman" w:cs="Tahoma"/>
          <w:color w:val="0000FF"/>
          <w:sz w:val="24"/>
        </w:rPr>
        <w:t>SIRTainty</w:t>
      </w:r>
      <w:proofErr w:type="spellEnd"/>
      <w:r>
        <w:rPr>
          <w:rFonts w:eastAsia="Times New Roman" w:cs="Tahoma"/>
          <w:color w:val="0000FF"/>
          <w:sz w:val="24"/>
        </w:rPr>
        <w:t xml:space="preserve"> assay does not overcome any of the problems that Fluor de Lys assay has to face to. </w:t>
      </w:r>
      <w:r>
        <w:rPr>
          <w:rFonts w:eastAsia="Times New Roman" w:cs="Tahoma"/>
          <w:color w:val="0000FF"/>
          <w:sz w:val="24"/>
          <w:u w:val="single"/>
        </w:rPr>
        <w:t xml:space="preserve">To only </w:t>
      </w:r>
      <w:proofErr w:type="spellStart"/>
      <w:r>
        <w:rPr>
          <w:rFonts w:eastAsia="Times New Roman" w:cs="Tahoma"/>
          <w:color w:val="0000FF"/>
          <w:sz w:val="24"/>
          <w:u w:val="single"/>
        </w:rPr>
        <w:t>subtracte</w:t>
      </w:r>
      <w:proofErr w:type="spellEnd"/>
      <w:r>
        <w:rPr>
          <w:rFonts w:eastAsia="Times New Roman" w:cs="Tahoma"/>
          <w:color w:val="0000FF"/>
          <w:sz w:val="24"/>
          <w:u w:val="single"/>
        </w:rPr>
        <w:t xml:space="preserve"> intrinsic fluorescence from DHP background could not really get a rigorous estimate of % activation in many cases.  Therefore, </w:t>
      </w:r>
      <w:r w:rsidR="007235CD" w:rsidRPr="007235CD">
        <w:rPr>
          <w:rFonts w:eastAsia="Times New Roman" w:cs="Tahoma"/>
          <w:color w:val="0000FF"/>
          <w:sz w:val="24"/>
          <w:u w:val="single"/>
        </w:rPr>
        <w:t>it is essential to run proper standard curves at these concentrations of [DHP].</w:t>
      </w:r>
      <w:r w:rsidR="007235CD" w:rsidRPr="007235CD">
        <w:rPr>
          <w:rFonts w:eastAsia="Times New Roman" w:cs="Tahoma"/>
          <w:color w:val="0000FF"/>
          <w:sz w:val="24"/>
          <w:u w:val="single"/>
        </w:rPr>
        <w:t xml:space="preserve"> </w:t>
      </w:r>
    </w:p>
    <w:p w:rsidR="003E0165" w:rsidRDefault="003E0165" w:rsidP="00ED2382">
      <w:pPr>
        <w:pStyle w:val="NoSpacing"/>
        <w:rPr>
          <w:rFonts w:eastAsia="Times New Roman" w:cs="Tahoma"/>
          <w:color w:val="0000FF"/>
          <w:sz w:val="24"/>
          <w:szCs w:val="24"/>
          <w:u w:val="single"/>
        </w:rPr>
      </w:pPr>
    </w:p>
    <w:p w:rsidR="00EA705D" w:rsidRPr="007235CD" w:rsidRDefault="00EA705D" w:rsidP="00ED2382">
      <w:pPr>
        <w:pStyle w:val="NoSpacing"/>
        <w:rPr>
          <w:color w:val="0000FF"/>
          <w:sz w:val="24"/>
          <w:szCs w:val="24"/>
          <w:u w:val="single"/>
        </w:rPr>
      </w:pPr>
      <w:r w:rsidRPr="007235CD">
        <w:rPr>
          <w:rFonts w:eastAsia="Times New Roman" w:cs="Tahoma"/>
          <w:color w:val="0000FF"/>
          <w:sz w:val="24"/>
          <w:szCs w:val="24"/>
          <w:u w:val="single"/>
        </w:rPr>
        <w:t xml:space="preserve">Based on the above observations with </w:t>
      </w:r>
      <w:proofErr w:type="spellStart"/>
      <w:r w:rsidRPr="007235CD">
        <w:rPr>
          <w:rFonts w:eastAsia="Times New Roman" w:cs="Tahoma"/>
          <w:color w:val="0000FF"/>
          <w:sz w:val="24"/>
          <w:szCs w:val="24"/>
          <w:u w:val="single"/>
        </w:rPr>
        <w:t>FdL</w:t>
      </w:r>
      <w:proofErr w:type="spellEnd"/>
      <w:r w:rsidRPr="007235CD">
        <w:rPr>
          <w:rFonts w:eastAsia="Times New Roman" w:cs="Tahoma"/>
          <w:color w:val="0000FF"/>
          <w:sz w:val="24"/>
          <w:szCs w:val="24"/>
          <w:u w:val="single"/>
        </w:rPr>
        <w:t xml:space="preserve">, we settled on the use of HPLC for studies of DHP activation at higher concentrations, </w:t>
      </w:r>
      <w:proofErr w:type="spellStart"/>
      <w:proofErr w:type="gramStart"/>
      <w:r w:rsidRPr="007235CD">
        <w:rPr>
          <w:rFonts w:eastAsia="Times New Roman" w:cs="Tahoma"/>
          <w:color w:val="0000FF"/>
          <w:sz w:val="24"/>
          <w:szCs w:val="24"/>
          <w:u w:val="single"/>
        </w:rPr>
        <w:t>esp</w:t>
      </w:r>
      <w:proofErr w:type="spellEnd"/>
      <w:proofErr w:type="gramEnd"/>
      <w:r w:rsidRPr="007235CD">
        <w:rPr>
          <w:rFonts w:eastAsia="Times New Roman" w:cs="Tahoma"/>
          <w:color w:val="0000FF"/>
          <w:sz w:val="24"/>
          <w:szCs w:val="24"/>
          <w:u w:val="single"/>
        </w:rPr>
        <w:t xml:space="preserve"> saturating concentrations.</w:t>
      </w:r>
    </w:p>
    <w:p w:rsidR="00575DBB" w:rsidRPr="00EA705D" w:rsidRDefault="00575DBB" w:rsidP="00ED2382">
      <w:pPr>
        <w:pStyle w:val="NoSpacing"/>
        <w:rPr>
          <w:color w:val="0000FF"/>
          <w:sz w:val="24"/>
          <w:szCs w:val="24"/>
        </w:rPr>
      </w:pPr>
    </w:p>
    <w:p w:rsidR="00A75014" w:rsidRPr="00A75014" w:rsidRDefault="00A75014" w:rsidP="009E1471">
      <w:pPr>
        <w:pStyle w:val="NoSpacing"/>
        <w:rPr>
          <w:b/>
          <w:sz w:val="24"/>
          <w:szCs w:val="24"/>
        </w:rPr>
      </w:pPr>
    </w:p>
    <w:p w:rsidR="00213AF7" w:rsidRPr="00EA705D" w:rsidRDefault="00213AF7" w:rsidP="00213AF7">
      <w:pPr>
        <w:rPr>
          <w:rFonts w:eastAsia="Times New Roman" w:cs="Tahoma"/>
          <w:color w:val="000000"/>
          <w:sz w:val="24"/>
          <w:szCs w:val="24"/>
        </w:rPr>
      </w:pPr>
    </w:p>
    <w:p w:rsidR="00213AF7" w:rsidRPr="00EA705D" w:rsidRDefault="00213AF7" w:rsidP="00213AF7">
      <w:pPr>
        <w:rPr>
          <w:rFonts w:eastAsia="Times New Roman" w:cs="Tahoma"/>
          <w:color w:val="000000"/>
          <w:sz w:val="24"/>
          <w:szCs w:val="24"/>
        </w:rPr>
      </w:pPr>
    </w:p>
    <w:p w:rsidR="00A24377" w:rsidRPr="00A24377" w:rsidRDefault="00A24377" w:rsidP="00A75014">
      <w:pPr>
        <w:rPr>
          <w:rFonts w:eastAsia="Times New Roman" w:cs="Tahoma"/>
          <w:b/>
          <w:color w:val="0000FF"/>
          <w:sz w:val="24"/>
          <w:szCs w:val="24"/>
        </w:rPr>
      </w:pPr>
      <w:r w:rsidRPr="00A24377">
        <w:rPr>
          <w:rFonts w:eastAsia="Times New Roman" w:cs="Tahoma"/>
          <w:b/>
          <w:color w:val="0000FF"/>
          <w:sz w:val="24"/>
          <w:szCs w:val="24"/>
        </w:rPr>
        <w:lastRenderedPageBreak/>
        <w:t>References</w:t>
      </w:r>
    </w:p>
    <w:p w:rsidR="003A29A6" w:rsidRPr="003A29A6" w:rsidRDefault="00A24377" w:rsidP="003A29A6">
      <w:pPr>
        <w:pStyle w:val="EndNoteBibliography"/>
        <w:spacing w:after="0"/>
        <w:ind w:left="720" w:hanging="720"/>
      </w:pPr>
      <w:r>
        <w:rPr>
          <w:rFonts w:cs="Helvetica"/>
          <w:color w:val="000000"/>
          <w:sz w:val="24"/>
          <w:szCs w:val="24"/>
        </w:rPr>
        <w:fldChar w:fldCharType="begin"/>
      </w:r>
      <w:r>
        <w:rPr>
          <w:rFonts w:cs="Helvetica"/>
          <w:color w:val="000000"/>
          <w:sz w:val="24"/>
          <w:szCs w:val="24"/>
        </w:rPr>
        <w:instrText xml:space="preserve"> ADDIN EN.REFLIST </w:instrText>
      </w:r>
      <w:r>
        <w:rPr>
          <w:rFonts w:cs="Helvetica"/>
          <w:color w:val="000000"/>
          <w:sz w:val="24"/>
          <w:szCs w:val="24"/>
        </w:rPr>
        <w:fldChar w:fldCharType="separate"/>
      </w:r>
      <w:r w:rsidR="003A29A6" w:rsidRPr="003A29A6">
        <w:t>1.</w:t>
      </w:r>
      <w:r w:rsidR="003A29A6" w:rsidRPr="003A29A6">
        <w:tab/>
        <w:t xml:space="preserve">Avalos JL, Bever KM, &amp; Wolberger C (2005) Mechanism of sirtuin inhibition by nicotinamide: Altering the NAD(+) cosubstrate specificity of a Sir2 enzyme. </w:t>
      </w:r>
      <w:r w:rsidR="003A29A6" w:rsidRPr="003A29A6">
        <w:rPr>
          <w:i/>
        </w:rPr>
        <w:t>Molecular Cell</w:t>
      </w:r>
      <w:r w:rsidR="003A29A6" w:rsidRPr="003A29A6">
        <w:t xml:space="preserve"> 17(6):855-868.</w:t>
      </w:r>
    </w:p>
    <w:p w:rsidR="003A29A6" w:rsidRPr="003A29A6" w:rsidRDefault="003A29A6" w:rsidP="003A29A6">
      <w:pPr>
        <w:pStyle w:val="EndNoteBibliography"/>
        <w:spacing w:after="0"/>
        <w:ind w:left="720" w:hanging="720"/>
      </w:pPr>
      <w:r w:rsidRPr="003A29A6">
        <w:t>2.</w:t>
      </w:r>
      <w:r w:rsidRPr="003A29A6">
        <w:tab/>
        <w:t>Howitz KT</w:t>
      </w:r>
      <w:r w:rsidRPr="003A29A6">
        <w:rPr>
          <w:i/>
        </w:rPr>
        <w:t>, et al.</w:t>
      </w:r>
      <w:r w:rsidRPr="003A29A6">
        <w:t xml:space="preserve"> (2003) Small molecule activators of sirtuins extend Saccharomyces cerevisiae lifespan. </w:t>
      </w:r>
      <w:r w:rsidRPr="003A29A6">
        <w:rPr>
          <w:i/>
        </w:rPr>
        <w:t>Nature</w:t>
      </w:r>
      <w:r w:rsidRPr="003A29A6">
        <w:t xml:space="preserve"> 425(6954):191-196.</w:t>
      </w:r>
    </w:p>
    <w:p w:rsidR="003A29A6" w:rsidRPr="003A29A6" w:rsidRDefault="003A29A6" w:rsidP="003A29A6">
      <w:pPr>
        <w:pStyle w:val="EndNoteBibliography"/>
        <w:spacing w:after="0"/>
        <w:ind w:left="720" w:hanging="720"/>
      </w:pPr>
      <w:r w:rsidRPr="003A29A6">
        <w:t>3.</w:t>
      </w:r>
      <w:r w:rsidRPr="003A29A6">
        <w:tab/>
        <w:t xml:space="preserve">Bitterman KJ, Anderson RM, Cohen HY, Latorre-Esteves M, &amp; Sinclair DA (2002) Inhibition of silencing and accelerated aging by nicotinamide, a putative negative regulator of yeast sir2 and human SIRT1. </w:t>
      </w:r>
      <w:r w:rsidRPr="003A29A6">
        <w:rPr>
          <w:i/>
        </w:rPr>
        <w:t>The Journal of biological chemistry</w:t>
      </w:r>
      <w:r w:rsidRPr="003A29A6">
        <w:t xml:space="preserve"> 277(47):45099-45107.</w:t>
      </w:r>
    </w:p>
    <w:p w:rsidR="003A29A6" w:rsidRPr="003A29A6" w:rsidRDefault="003A29A6" w:rsidP="003A29A6">
      <w:pPr>
        <w:pStyle w:val="EndNoteBibliography"/>
        <w:spacing w:after="0"/>
        <w:ind w:left="720" w:hanging="720"/>
      </w:pPr>
      <w:r w:rsidRPr="003A29A6">
        <w:t>4.</w:t>
      </w:r>
      <w:r w:rsidRPr="003A29A6">
        <w:tab/>
        <w:t>Wood JG</w:t>
      </w:r>
      <w:r w:rsidRPr="003A29A6">
        <w:rPr>
          <w:i/>
        </w:rPr>
        <w:t>, et al.</w:t>
      </w:r>
      <w:r w:rsidRPr="003A29A6">
        <w:t xml:space="preserve"> (2004) Sirtuin activators mimic caloric restriction and delay ageing in metazoans. </w:t>
      </w:r>
      <w:r w:rsidRPr="003A29A6">
        <w:rPr>
          <w:i/>
        </w:rPr>
        <w:t>Nature</w:t>
      </w:r>
      <w:r w:rsidRPr="003A29A6">
        <w:t xml:space="preserve"> 430(7000):686-689.</w:t>
      </w:r>
    </w:p>
    <w:p w:rsidR="003A29A6" w:rsidRPr="003A29A6" w:rsidRDefault="003A29A6" w:rsidP="003A29A6">
      <w:pPr>
        <w:pStyle w:val="EndNoteBibliography"/>
        <w:spacing w:after="0"/>
        <w:ind w:left="720" w:hanging="720"/>
      </w:pPr>
      <w:r w:rsidRPr="003A29A6">
        <w:t>5.</w:t>
      </w:r>
      <w:r w:rsidRPr="003A29A6">
        <w:tab/>
        <w:t>Mai A</w:t>
      </w:r>
      <w:r w:rsidRPr="003A29A6">
        <w:rPr>
          <w:i/>
        </w:rPr>
        <w:t>, et al.</w:t>
      </w:r>
      <w:r w:rsidRPr="003A29A6">
        <w:t xml:space="preserve"> (2009) Study of 1,4-Dihydropyridine Structural Scaffold: Discovery of Novel Sirtuin Activators and Inhibitors. </w:t>
      </w:r>
      <w:r w:rsidRPr="003A29A6">
        <w:rPr>
          <w:i/>
        </w:rPr>
        <w:t>Journal of Medicinal Chemistry</w:t>
      </w:r>
      <w:r w:rsidRPr="003A29A6">
        <w:t xml:space="preserve"> 52(17):5496-5504.</w:t>
      </w:r>
    </w:p>
    <w:p w:rsidR="003A29A6" w:rsidRPr="003A29A6" w:rsidRDefault="003A29A6" w:rsidP="003A29A6">
      <w:pPr>
        <w:pStyle w:val="EndNoteBibliography"/>
        <w:ind w:left="720" w:hanging="720"/>
      </w:pPr>
      <w:r w:rsidRPr="003A29A6">
        <w:t>6.</w:t>
      </w:r>
      <w:r w:rsidRPr="003A29A6">
        <w:tab/>
        <w:t xml:space="preserve">Valente SM, Palol; Spallotta, Francesco (2015) 1,4-Dihydropyridines Active on the SIRT1/AMPK Pathway Ameliorate Skin Repair and Mitochondrial Function and Exhibit Inhibition of Proliferation in Cancer Cells. </w:t>
      </w:r>
      <w:r w:rsidRPr="003A29A6">
        <w:rPr>
          <w:i/>
        </w:rPr>
        <w:t>Journal of Medicinal Chemistry</w:t>
      </w:r>
      <w:r w:rsidRPr="003A29A6">
        <w:t>.</w:t>
      </w:r>
    </w:p>
    <w:p w:rsidR="00213AF7" w:rsidRPr="00EA705D" w:rsidRDefault="00A24377" w:rsidP="00A75014">
      <w:pPr>
        <w:rPr>
          <w:rFonts w:cs="Helvetica"/>
          <w:color w:val="000000"/>
          <w:sz w:val="24"/>
          <w:szCs w:val="24"/>
        </w:rPr>
      </w:pPr>
      <w:r>
        <w:rPr>
          <w:rFonts w:cs="Helvetica"/>
          <w:color w:val="000000"/>
          <w:sz w:val="24"/>
          <w:szCs w:val="24"/>
        </w:rPr>
        <w:fldChar w:fldCharType="end"/>
      </w:r>
    </w:p>
    <w:sectPr w:rsidR="00213AF7" w:rsidRPr="00EA705D" w:rsidSect="003C2913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80119"/>
    <w:multiLevelType w:val="hybridMultilevel"/>
    <w:tmpl w:val="B57CD7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A16F69"/>
    <w:multiLevelType w:val="hybridMultilevel"/>
    <w:tmpl w:val="EB68BC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00520F"/>
    <w:multiLevelType w:val="hybridMultilevel"/>
    <w:tmpl w:val="7F149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PNAS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a5faswfvf9xvyexdp9vdezjrxeer5txtspz&quot;&gt;Sirtuin References&lt;record-ids&gt;&lt;item&gt;26&lt;/item&gt;&lt;item&gt;274&lt;/item&gt;&lt;item&gt;287&lt;/item&gt;&lt;item&gt;288&lt;/item&gt;&lt;item&gt;289&lt;/item&gt;&lt;item&gt;301&lt;/item&gt;&lt;/record-ids&gt;&lt;/item&gt;&lt;/Libraries&gt;"/>
  </w:docVars>
  <w:rsids>
    <w:rsidRoot w:val="009E1471"/>
    <w:rsid w:val="00037B48"/>
    <w:rsid w:val="000855A9"/>
    <w:rsid w:val="000B65ED"/>
    <w:rsid w:val="000C563C"/>
    <w:rsid w:val="000D3387"/>
    <w:rsid w:val="000D738D"/>
    <w:rsid w:val="000E553D"/>
    <w:rsid w:val="000E55E6"/>
    <w:rsid w:val="000F57B8"/>
    <w:rsid w:val="00141E34"/>
    <w:rsid w:val="001963C6"/>
    <w:rsid w:val="00197E98"/>
    <w:rsid w:val="001C55F0"/>
    <w:rsid w:val="001E7F23"/>
    <w:rsid w:val="00213AF7"/>
    <w:rsid w:val="002770EE"/>
    <w:rsid w:val="00291BFB"/>
    <w:rsid w:val="0029631B"/>
    <w:rsid w:val="002D555C"/>
    <w:rsid w:val="002E1B15"/>
    <w:rsid w:val="00323A9A"/>
    <w:rsid w:val="00363073"/>
    <w:rsid w:val="0038006A"/>
    <w:rsid w:val="00382521"/>
    <w:rsid w:val="0039348B"/>
    <w:rsid w:val="003A29A6"/>
    <w:rsid w:val="003C2913"/>
    <w:rsid w:val="003C4860"/>
    <w:rsid w:val="003E0165"/>
    <w:rsid w:val="004A185D"/>
    <w:rsid w:val="004E7C6F"/>
    <w:rsid w:val="00514DBD"/>
    <w:rsid w:val="00556C59"/>
    <w:rsid w:val="00566EB1"/>
    <w:rsid w:val="00575DBB"/>
    <w:rsid w:val="005E1762"/>
    <w:rsid w:val="00600547"/>
    <w:rsid w:val="006508E2"/>
    <w:rsid w:val="006A0710"/>
    <w:rsid w:val="006A50AB"/>
    <w:rsid w:val="006D2DE1"/>
    <w:rsid w:val="007235CD"/>
    <w:rsid w:val="007324AA"/>
    <w:rsid w:val="00741331"/>
    <w:rsid w:val="00781405"/>
    <w:rsid w:val="007D1D9E"/>
    <w:rsid w:val="00801307"/>
    <w:rsid w:val="008075FF"/>
    <w:rsid w:val="008432F2"/>
    <w:rsid w:val="008713EB"/>
    <w:rsid w:val="008C10D7"/>
    <w:rsid w:val="008C3A7F"/>
    <w:rsid w:val="008E2757"/>
    <w:rsid w:val="008F468D"/>
    <w:rsid w:val="009469E7"/>
    <w:rsid w:val="00956669"/>
    <w:rsid w:val="0096453A"/>
    <w:rsid w:val="00982676"/>
    <w:rsid w:val="009B2D45"/>
    <w:rsid w:val="009E1471"/>
    <w:rsid w:val="00A047F7"/>
    <w:rsid w:val="00A24377"/>
    <w:rsid w:val="00A315F4"/>
    <w:rsid w:val="00A75014"/>
    <w:rsid w:val="00A868F6"/>
    <w:rsid w:val="00A9064C"/>
    <w:rsid w:val="00AA421E"/>
    <w:rsid w:val="00AE1D42"/>
    <w:rsid w:val="00B57B4D"/>
    <w:rsid w:val="00B736F8"/>
    <w:rsid w:val="00B976E7"/>
    <w:rsid w:val="00BA6719"/>
    <w:rsid w:val="00BF5DAB"/>
    <w:rsid w:val="00BF6745"/>
    <w:rsid w:val="00C03BB7"/>
    <w:rsid w:val="00CA32B1"/>
    <w:rsid w:val="00CB0E89"/>
    <w:rsid w:val="00CC2CAC"/>
    <w:rsid w:val="00D42B82"/>
    <w:rsid w:val="00D56A41"/>
    <w:rsid w:val="00D740AE"/>
    <w:rsid w:val="00DB4AB3"/>
    <w:rsid w:val="00DC5B7C"/>
    <w:rsid w:val="00E10B05"/>
    <w:rsid w:val="00E2188A"/>
    <w:rsid w:val="00E778FB"/>
    <w:rsid w:val="00E94300"/>
    <w:rsid w:val="00E96505"/>
    <w:rsid w:val="00EA705D"/>
    <w:rsid w:val="00ED2382"/>
    <w:rsid w:val="00F53AD8"/>
    <w:rsid w:val="00FB362A"/>
    <w:rsid w:val="00FB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E1471"/>
    <w:pPr>
      <w:spacing w:after="0" w:line="240" w:lineRule="auto"/>
    </w:pPr>
  </w:style>
  <w:style w:type="character" w:customStyle="1" w:styleId="hlfld-title">
    <w:name w:val="hlfld-title"/>
    <w:basedOn w:val="DefaultParagraphFont"/>
    <w:rsid w:val="00E778FB"/>
  </w:style>
  <w:style w:type="paragraph" w:styleId="BalloonText">
    <w:name w:val="Balloon Text"/>
    <w:basedOn w:val="Normal"/>
    <w:link w:val="BalloonTextChar"/>
    <w:uiPriority w:val="99"/>
    <w:semiHidden/>
    <w:unhideWhenUsed/>
    <w:rsid w:val="003C2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913"/>
    <w:rPr>
      <w:rFonts w:ascii="Tahoma" w:hAnsi="Tahoma" w:cs="Tahoma"/>
      <w:sz w:val="16"/>
      <w:szCs w:val="16"/>
    </w:rPr>
  </w:style>
  <w:style w:type="paragraph" w:customStyle="1" w:styleId="EndNoteBibliographyTitle">
    <w:name w:val="EndNote Bibliography Title"/>
    <w:basedOn w:val="Normal"/>
    <w:link w:val="EndNoteBibliographyTitleChar"/>
    <w:rsid w:val="00A24377"/>
    <w:pPr>
      <w:spacing w:after="0"/>
      <w:jc w:val="center"/>
    </w:pPr>
    <w:rPr>
      <w:rFonts w:ascii="Calibri" w:hAnsi="Calibri"/>
      <w:noProof/>
    </w:rPr>
  </w:style>
  <w:style w:type="character" w:customStyle="1" w:styleId="NoSpacingChar">
    <w:name w:val="No Spacing Char"/>
    <w:basedOn w:val="DefaultParagraphFont"/>
    <w:link w:val="NoSpacing"/>
    <w:uiPriority w:val="1"/>
    <w:rsid w:val="00A24377"/>
  </w:style>
  <w:style w:type="character" w:customStyle="1" w:styleId="EndNoteBibliographyTitleChar">
    <w:name w:val="EndNote Bibliography Title Char"/>
    <w:basedOn w:val="NoSpacingChar"/>
    <w:link w:val="EndNoteBibliographyTitle"/>
    <w:rsid w:val="00A24377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A24377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NoSpacingChar"/>
    <w:link w:val="EndNoteBibliography"/>
    <w:rsid w:val="00A24377"/>
    <w:rPr>
      <w:rFonts w:ascii="Calibri" w:hAnsi="Calibri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E1471"/>
    <w:pPr>
      <w:spacing w:after="0" w:line="240" w:lineRule="auto"/>
    </w:pPr>
  </w:style>
  <w:style w:type="character" w:customStyle="1" w:styleId="hlfld-title">
    <w:name w:val="hlfld-title"/>
    <w:basedOn w:val="DefaultParagraphFont"/>
    <w:rsid w:val="00E778FB"/>
  </w:style>
  <w:style w:type="paragraph" w:styleId="BalloonText">
    <w:name w:val="Balloon Text"/>
    <w:basedOn w:val="Normal"/>
    <w:link w:val="BalloonTextChar"/>
    <w:uiPriority w:val="99"/>
    <w:semiHidden/>
    <w:unhideWhenUsed/>
    <w:rsid w:val="003C2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913"/>
    <w:rPr>
      <w:rFonts w:ascii="Tahoma" w:hAnsi="Tahoma" w:cs="Tahoma"/>
      <w:sz w:val="16"/>
      <w:szCs w:val="16"/>
    </w:rPr>
  </w:style>
  <w:style w:type="paragraph" w:customStyle="1" w:styleId="EndNoteBibliographyTitle">
    <w:name w:val="EndNote Bibliography Title"/>
    <w:basedOn w:val="Normal"/>
    <w:link w:val="EndNoteBibliographyTitleChar"/>
    <w:rsid w:val="00A24377"/>
    <w:pPr>
      <w:spacing w:after="0"/>
      <w:jc w:val="center"/>
    </w:pPr>
    <w:rPr>
      <w:rFonts w:ascii="Calibri" w:hAnsi="Calibri"/>
      <w:noProof/>
    </w:rPr>
  </w:style>
  <w:style w:type="character" w:customStyle="1" w:styleId="NoSpacingChar">
    <w:name w:val="No Spacing Char"/>
    <w:basedOn w:val="DefaultParagraphFont"/>
    <w:link w:val="NoSpacing"/>
    <w:uiPriority w:val="1"/>
    <w:rsid w:val="00A24377"/>
  </w:style>
  <w:style w:type="character" w:customStyle="1" w:styleId="EndNoteBibliographyTitleChar">
    <w:name w:val="EndNote Bibliography Title Char"/>
    <w:basedOn w:val="NoSpacingChar"/>
    <w:link w:val="EndNoteBibliographyTitle"/>
    <w:rsid w:val="00A24377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A24377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NoSpacingChar"/>
    <w:link w:val="EndNoteBibliography"/>
    <w:rsid w:val="00A24377"/>
    <w:rPr>
      <w:rFonts w:ascii="Calibri" w:hAnsi="Calibri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7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H:\2016\02.11.2016-2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H:\2016\02.11.2016-2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5893065998329156"/>
          <c:y val="3.2882035578885971E-2"/>
          <c:w val="0.80407685881370095"/>
          <c:h val="0.78169364246135897"/>
        </c:manualLayout>
      </c:layout>
      <c:scatterChart>
        <c:scatterStyle val="lineMarker"/>
        <c:varyColors val="0"/>
        <c:ser>
          <c:idx val="1"/>
          <c:order val="0"/>
          <c:tx>
            <c:v>0.5% DMSO</c:v>
          </c:tx>
          <c:spPr>
            <a:ln w="28575">
              <a:noFill/>
            </a:ln>
          </c:spPr>
          <c:marker>
            <c:symbol val="none"/>
          </c:marker>
          <c:trendline>
            <c:spPr>
              <a:ln>
                <a:solidFill>
                  <a:srgbClr val="C00000"/>
                </a:solidFill>
              </a:ln>
            </c:spPr>
            <c:trendlineType val="linear"/>
            <c:intercept val="0"/>
            <c:dispRSqr val="0"/>
            <c:dispEq val="0"/>
          </c:trendline>
          <c:xVal>
            <c:numRef>
              <c:f>Sheet3!$B$17:$B$23</c:f>
              <c:numCache>
                <c:formatCode>General</c:formatCode>
                <c:ptCount val="7"/>
                <c:pt idx="0">
                  <c:v>0</c:v>
                </c:pt>
                <c:pt idx="1">
                  <c:v>0.46875</c:v>
                </c:pt>
                <c:pt idx="2">
                  <c:v>0.9375</c:v>
                </c:pt>
                <c:pt idx="3">
                  <c:v>1.875</c:v>
                </c:pt>
                <c:pt idx="4">
                  <c:v>3.75</c:v>
                </c:pt>
                <c:pt idx="5">
                  <c:v>7.5</c:v>
                </c:pt>
                <c:pt idx="6">
                  <c:v>15</c:v>
                </c:pt>
              </c:numCache>
            </c:numRef>
          </c:xVal>
          <c:yVal>
            <c:numRef>
              <c:f>Sheet3!$D$17:$D$23</c:f>
              <c:numCache>
                <c:formatCode>General</c:formatCode>
                <c:ptCount val="7"/>
                <c:pt idx="0">
                  <c:v>0</c:v>
                </c:pt>
                <c:pt idx="1">
                  <c:v>174</c:v>
                </c:pt>
                <c:pt idx="2">
                  <c:v>346</c:v>
                </c:pt>
                <c:pt idx="3">
                  <c:v>627</c:v>
                </c:pt>
                <c:pt idx="4">
                  <c:v>1094</c:v>
                </c:pt>
                <c:pt idx="5">
                  <c:v>1966</c:v>
                </c:pt>
                <c:pt idx="6">
                  <c:v>3361</c:v>
                </c:pt>
              </c:numCache>
            </c:numRef>
          </c:yVal>
          <c:smooth val="0"/>
        </c:ser>
        <c:ser>
          <c:idx val="2"/>
          <c:order val="1"/>
          <c:tx>
            <c:v>5% DMSO</c:v>
          </c:tx>
          <c:spPr>
            <a:ln w="28575">
              <a:noFill/>
            </a:ln>
          </c:spPr>
          <c:marker>
            <c:symbol val="none"/>
          </c:marker>
          <c:trendline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trendlineType val="linear"/>
            <c:intercept val="0"/>
            <c:dispRSqr val="0"/>
            <c:dispEq val="0"/>
          </c:trendline>
          <c:xVal>
            <c:numRef>
              <c:f>Sheet3!$B$17:$B$23</c:f>
              <c:numCache>
                <c:formatCode>General</c:formatCode>
                <c:ptCount val="7"/>
                <c:pt idx="0">
                  <c:v>0</c:v>
                </c:pt>
                <c:pt idx="1">
                  <c:v>0.46875</c:v>
                </c:pt>
                <c:pt idx="2">
                  <c:v>0.9375</c:v>
                </c:pt>
                <c:pt idx="3">
                  <c:v>1.875</c:v>
                </c:pt>
                <c:pt idx="4">
                  <c:v>3.75</c:v>
                </c:pt>
                <c:pt idx="5">
                  <c:v>7.5</c:v>
                </c:pt>
                <c:pt idx="6">
                  <c:v>15</c:v>
                </c:pt>
              </c:numCache>
            </c:numRef>
          </c:xVal>
          <c:yVal>
            <c:numRef>
              <c:f>Sheet3!$E$17:$E$23</c:f>
              <c:numCache>
                <c:formatCode>General</c:formatCode>
                <c:ptCount val="7"/>
                <c:pt idx="0">
                  <c:v>0</c:v>
                </c:pt>
                <c:pt idx="1">
                  <c:v>188</c:v>
                </c:pt>
                <c:pt idx="2">
                  <c:v>356</c:v>
                </c:pt>
                <c:pt idx="3">
                  <c:v>674</c:v>
                </c:pt>
                <c:pt idx="4">
                  <c:v>1198</c:v>
                </c:pt>
                <c:pt idx="5">
                  <c:v>2139</c:v>
                </c:pt>
                <c:pt idx="6">
                  <c:v>3683</c:v>
                </c:pt>
              </c:numCache>
            </c:numRef>
          </c:yVal>
          <c:smooth val="0"/>
        </c:ser>
        <c:ser>
          <c:idx val="3"/>
          <c:order val="2"/>
          <c:tx>
            <c:v>0% DMSO</c:v>
          </c:tx>
          <c:spPr>
            <a:ln w="28575">
              <a:noFill/>
            </a:ln>
          </c:spPr>
          <c:marker>
            <c:symbol val="none"/>
          </c:marker>
          <c:trendline>
            <c:spPr>
              <a:ln>
                <a:solidFill>
                  <a:schemeClr val="accent1"/>
                </a:solidFill>
              </a:ln>
            </c:spPr>
            <c:trendlineType val="linear"/>
            <c:intercept val="0"/>
            <c:dispRSqr val="0"/>
            <c:dispEq val="0"/>
          </c:trendline>
          <c:xVal>
            <c:numRef>
              <c:f>Sheet3!$B$17:$B$24</c:f>
              <c:numCache>
                <c:formatCode>General</c:formatCode>
                <c:ptCount val="8"/>
                <c:pt idx="0">
                  <c:v>0</c:v>
                </c:pt>
                <c:pt idx="1">
                  <c:v>0.46875</c:v>
                </c:pt>
                <c:pt idx="2">
                  <c:v>0.9375</c:v>
                </c:pt>
                <c:pt idx="3">
                  <c:v>1.875</c:v>
                </c:pt>
                <c:pt idx="4">
                  <c:v>3.75</c:v>
                </c:pt>
                <c:pt idx="5">
                  <c:v>7.5</c:v>
                </c:pt>
                <c:pt idx="6">
                  <c:v>15</c:v>
                </c:pt>
                <c:pt idx="7">
                  <c:v>30</c:v>
                </c:pt>
              </c:numCache>
            </c:numRef>
          </c:xVal>
          <c:yVal>
            <c:numRef>
              <c:f>Sheet3!$F$17:$F$24</c:f>
              <c:numCache>
                <c:formatCode>General</c:formatCode>
                <c:ptCount val="8"/>
                <c:pt idx="0">
                  <c:v>0</c:v>
                </c:pt>
                <c:pt idx="1">
                  <c:v>190</c:v>
                </c:pt>
                <c:pt idx="2">
                  <c:v>361</c:v>
                </c:pt>
                <c:pt idx="3">
                  <c:v>668</c:v>
                </c:pt>
                <c:pt idx="4">
                  <c:v>1217</c:v>
                </c:pt>
                <c:pt idx="5">
                  <c:v>2032</c:v>
                </c:pt>
                <c:pt idx="6">
                  <c:v>3787</c:v>
                </c:pt>
                <c:pt idx="7">
                  <c:v>6350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2128512"/>
        <c:axId val="172228992"/>
      </c:scatterChart>
      <c:valAx>
        <c:axId val="172128512"/>
        <c:scaling>
          <c:orientation val="minMax"/>
          <c:max val="15"/>
          <c:min val="0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[Fluor de Lys deacetylated standard], uM</a:t>
                </a:r>
              </a:p>
            </c:rich>
          </c:tx>
          <c:layout>
            <c:manualLayout>
              <c:xMode val="edge"/>
              <c:yMode val="edge"/>
              <c:x val="0.28312733635568282"/>
              <c:y val="0.929976194836110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72228992"/>
        <c:crosses val="autoZero"/>
        <c:crossBetween val="midCat"/>
        <c:majorUnit val="2"/>
      </c:valAx>
      <c:valAx>
        <c:axId val="172228992"/>
        <c:scaling>
          <c:orientation val="minMax"/>
          <c:max val="400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AFU</a:t>
                </a:r>
              </a:p>
            </c:rich>
          </c:tx>
          <c:layout>
            <c:manualLayout>
              <c:xMode val="edge"/>
              <c:yMode val="edge"/>
              <c:x val="2.208145034502266E-3"/>
              <c:y val="0.34335835927485808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72128512"/>
        <c:crosses val="autoZero"/>
        <c:crossBetween val="midCat"/>
      </c:valAx>
      <c:spPr>
        <a:ln>
          <a:solidFill>
            <a:schemeClr val="tx1"/>
          </a:solidFill>
        </a:ln>
      </c:spPr>
    </c:plotArea>
    <c:legend>
      <c:legendPos val="r"/>
      <c:legendEntry>
        <c:idx val="0"/>
        <c:delete val="1"/>
      </c:legendEntry>
      <c:legendEntry>
        <c:idx val="1"/>
        <c:delete val="1"/>
      </c:legendEntry>
      <c:legendEntry>
        <c:idx val="2"/>
        <c:delete val="1"/>
      </c:legendEntry>
      <c:layout>
        <c:manualLayout>
          <c:xMode val="edge"/>
          <c:yMode val="edge"/>
          <c:x val="0.11712473003811587"/>
          <c:y val="4.5720326625838428E-2"/>
          <c:w val="0.42420522609498995"/>
          <c:h val="0.14929972295129776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7303642600230526"/>
          <c:y val="5.1400554097404488E-2"/>
          <c:w val="0.78791595495007571"/>
          <c:h val="0.79095290172061827"/>
        </c:manualLayout>
      </c:layout>
      <c:scatterChart>
        <c:scatterStyle val="lineMarker"/>
        <c:varyColors val="0"/>
        <c:ser>
          <c:idx val="1"/>
          <c:order val="0"/>
          <c:tx>
            <c:v>10uM DHP1c</c:v>
          </c:tx>
          <c:spPr>
            <a:ln w="28575">
              <a:noFill/>
            </a:ln>
          </c:spPr>
          <c:marker>
            <c:symbol val="none"/>
          </c:marker>
          <c:trendline>
            <c:spPr>
              <a:ln>
                <a:solidFill>
                  <a:schemeClr val="accent2"/>
                </a:solidFill>
              </a:ln>
            </c:spPr>
            <c:trendlineType val="linear"/>
            <c:intercept val="0"/>
            <c:dispRSqr val="0"/>
            <c:dispEq val="0"/>
          </c:trendline>
          <c:xVal>
            <c:numRef>
              <c:f>Sheet3!$I$8:$I$15</c:f>
              <c:numCache>
                <c:formatCode>General</c:formatCode>
                <c:ptCount val="8"/>
                <c:pt idx="0">
                  <c:v>0</c:v>
                </c:pt>
                <c:pt idx="1">
                  <c:v>0.234375</c:v>
                </c:pt>
                <c:pt idx="2">
                  <c:v>0.46875</c:v>
                </c:pt>
                <c:pt idx="3">
                  <c:v>0.9375</c:v>
                </c:pt>
                <c:pt idx="4">
                  <c:v>1.875</c:v>
                </c:pt>
                <c:pt idx="5">
                  <c:v>3.75</c:v>
                </c:pt>
                <c:pt idx="6">
                  <c:v>7.5</c:v>
                </c:pt>
                <c:pt idx="7">
                  <c:v>15</c:v>
                </c:pt>
              </c:numCache>
            </c:numRef>
          </c:xVal>
          <c:yVal>
            <c:numRef>
              <c:f>Sheet3!$K$8:$K$15</c:f>
              <c:numCache>
                <c:formatCode>General</c:formatCode>
                <c:ptCount val="8"/>
                <c:pt idx="0">
                  <c:v>0</c:v>
                </c:pt>
                <c:pt idx="1">
                  <c:v>5</c:v>
                </c:pt>
                <c:pt idx="2">
                  <c:v>43</c:v>
                </c:pt>
                <c:pt idx="3">
                  <c:v>146</c:v>
                </c:pt>
                <c:pt idx="4">
                  <c:v>281</c:v>
                </c:pt>
                <c:pt idx="5">
                  <c:v>536</c:v>
                </c:pt>
                <c:pt idx="6">
                  <c:v>1014</c:v>
                </c:pt>
                <c:pt idx="7">
                  <c:v>1761</c:v>
                </c:pt>
              </c:numCache>
            </c:numRef>
          </c:yVal>
          <c:smooth val="0"/>
        </c:ser>
        <c:ser>
          <c:idx val="2"/>
          <c:order val="1"/>
          <c:tx>
            <c:v>50uM DHP1c</c:v>
          </c:tx>
          <c:spPr>
            <a:ln w="28575">
              <a:noFill/>
            </a:ln>
          </c:spPr>
          <c:marker>
            <c:symbol val="none"/>
          </c:marker>
          <c:trendline>
            <c:spPr>
              <a:ln>
                <a:solidFill>
                  <a:schemeClr val="accent3"/>
                </a:solidFill>
              </a:ln>
            </c:spPr>
            <c:trendlineType val="linear"/>
            <c:intercept val="0"/>
            <c:dispRSqr val="0"/>
            <c:dispEq val="0"/>
          </c:trendline>
          <c:xVal>
            <c:numRef>
              <c:f>Sheet3!$I$8:$I$15</c:f>
              <c:numCache>
                <c:formatCode>General</c:formatCode>
                <c:ptCount val="8"/>
                <c:pt idx="0">
                  <c:v>0</c:v>
                </c:pt>
                <c:pt idx="1">
                  <c:v>0.234375</c:v>
                </c:pt>
                <c:pt idx="2">
                  <c:v>0.46875</c:v>
                </c:pt>
                <c:pt idx="3">
                  <c:v>0.9375</c:v>
                </c:pt>
                <c:pt idx="4">
                  <c:v>1.875</c:v>
                </c:pt>
                <c:pt idx="5">
                  <c:v>3.75</c:v>
                </c:pt>
                <c:pt idx="6">
                  <c:v>7.5</c:v>
                </c:pt>
                <c:pt idx="7">
                  <c:v>15</c:v>
                </c:pt>
              </c:numCache>
            </c:numRef>
          </c:xVal>
          <c:yVal>
            <c:numRef>
              <c:f>Sheet3!$L$8:$L$15</c:f>
              <c:numCache>
                <c:formatCode>General</c:formatCode>
                <c:ptCount val="8"/>
                <c:pt idx="0">
                  <c:v>0</c:v>
                </c:pt>
                <c:pt idx="1">
                  <c:v>42</c:v>
                </c:pt>
                <c:pt idx="2">
                  <c:v>125</c:v>
                </c:pt>
                <c:pt idx="3">
                  <c:v>212</c:v>
                </c:pt>
                <c:pt idx="4">
                  <c:v>303</c:v>
                </c:pt>
                <c:pt idx="5">
                  <c:v>508</c:v>
                </c:pt>
                <c:pt idx="6">
                  <c:v>991</c:v>
                </c:pt>
                <c:pt idx="7">
                  <c:v>1655</c:v>
                </c:pt>
              </c:numCache>
            </c:numRef>
          </c:yVal>
          <c:smooth val="0"/>
        </c:ser>
        <c:ser>
          <c:idx val="3"/>
          <c:order val="2"/>
          <c:tx>
            <c:v>100uM DHP1c</c:v>
          </c:tx>
          <c:spPr>
            <a:ln w="28575">
              <a:noFill/>
            </a:ln>
          </c:spPr>
          <c:marker>
            <c:symbol val="none"/>
          </c:marker>
          <c:trendline>
            <c:spPr>
              <a:ln>
                <a:solidFill>
                  <a:schemeClr val="accent4"/>
                </a:solidFill>
              </a:ln>
            </c:spPr>
            <c:trendlineType val="linear"/>
            <c:intercept val="0"/>
            <c:dispRSqr val="0"/>
            <c:dispEq val="0"/>
          </c:trendline>
          <c:xVal>
            <c:numRef>
              <c:f>Sheet3!$I$8:$I$15</c:f>
              <c:numCache>
                <c:formatCode>General</c:formatCode>
                <c:ptCount val="8"/>
                <c:pt idx="0">
                  <c:v>0</c:v>
                </c:pt>
                <c:pt idx="1">
                  <c:v>0.234375</c:v>
                </c:pt>
                <c:pt idx="2">
                  <c:v>0.46875</c:v>
                </c:pt>
                <c:pt idx="3">
                  <c:v>0.9375</c:v>
                </c:pt>
                <c:pt idx="4">
                  <c:v>1.875</c:v>
                </c:pt>
                <c:pt idx="5">
                  <c:v>3.75</c:v>
                </c:pt>
                <c:pt idx="6">
                  <c:v>7.5</c:v>
                </c:pt>
                <c:pt idx="7">
                  <c:v>15</c:v>
                </c:pt>
              </c:numCache>
            </c:numRef>
          </c:xVal>
          <c:yVal>
            <c:numRef>
              <c:f>Sheet3!$M$8:$M$15</c:f>
              <c:numCache>
                <c:formatCode>General</c:formatCode>
                <c:ptCount val="8"/>
                <c:pt idx="0">
                  <c:v>0</c:v>
                </c:pt>
                <c:pt idx="1">
                  <c:v>62</c:v>
                </c:pt>
                <c:pt idx="2">
                  <c:v>162</c:v>
                </c:pt>
                <c:pt idx="3">
                  <c:v>280</c:v>
                </c:pt>
                <c:pt idx="4">
                  <c:v>411</c:v>
                </c:pt>
                <c:pt idx="5">
                  <c:v>526</c:v>
                </c:pt>
                <c:pt idx="6">
                  <c:v>728</c:v>
                </c:pt>
                <c:pt idx="7">
                  <c:v>1344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47562240"/>
        <c:axId val="247564160"/>
      </c:scatterChart>
      <c:valAx>
        <c:axId val="247562240"/>
        <c:scaling>
          <c:orientation val="minMax"/>
          <c:max val="15"/>
          <c:min val="0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[Fluor de Lys deacetylated standard], uM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47564160"/>
        <c:crosses val="autoZero"/>
        <c:crossBetween val="midCat"/>
        <c:majorUnit val="2"/>
      </c:valAx>
      <c:valAx>
        <c:axId val="247564160"/>
        <c:scaling>
          <c:orientation val="minMax"/>
          <c:max val="200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AFU</a:t>
                </a:r>
              </a:p>
            </c:rich>
          </c:tx>
          <c:layout>
            <c:manualLayout>
              <c:xMode val="edge"/>
              <c:yMode val="edge"/>
              <c:x val="2.804093932702856E-3"/>
              <c:y val="0.3723862642169728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47562240"/>
        <c:crosses val="autoZero"/>
        <c:crossBetween val="midCat"/>
      </c:valAx>
      <c:spPr>
        <a:ln>
          <a:solidFill>
            <a:schemeClr val="tx1">
              <a:lumMod val="65000"/>
              <a:lumOff val="35000"/>
            </a:schemeClr>
          </a:solidFill>
        </a:ln>
      </c:spPr>
    </c:plotArea>
    <c:legend>
      <c:legendPos val="r"/>
      <c:legendEntry>
        <c:idx val="0"/>
        <c:delete val="1"/>
      </c:legendEntry>
      <c:legendEntry>
        <c:idx val="1"/>
        <c:delete val="1"/>
      </c:legendEntry>
      <c:legendEntry>
        <c:idx val="2"/>
        <c:delete val="1"/>
      </c:legendEntry>
      <c:layout>
        <c:manualLayout>
          <c:xMode val="edge"/>
          <c:yMode val="edge"/>
          <c:x val="1.8137438702515118E-2"/>
          <c:y val="5.9609215514727323E-2"/>
          <c:w val="0.72430909858665138"/>
          <c:h val="0.18401027996500435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xguan</dc:creator>
  <cp:lastModifiedBy>xguan</cp:lastModifiedBy>
  <cp:revision>8</cp:revision>
  <dcterms:created xsi:type="dcterms:W3CDTF">2016-02-19T15:27:00Z</dcterms:created>
  <dcterms:modified xsi:type="dcterms:W3CDTF">2016-02-19T21:24:00Z</dcterms:modified>
</cp:coreProperties>
</file>